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r w:rsidRPr="00607E6B">
        <w:rPr>
          <w:rFonts w:ascii="Times New Roman" w:hAnsi="Times New Roman" w:cs="Times New Roman"/>
          <w:sz w:val="18"/>
        </w:rPr>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r>
      <w:r w:rsidRPr="00607E6B">
        <w:rPr>
          <w:rFonts w:ascii="Times New Roman" w:hAnsi="Times New Roman" w:cs="Times New Roman"/>
          <w:sz w:val="18"/>
        </w:rPr>
      </w:r>
    </w:p>
    <w:p w14:paraId="60D51324" w14:textId="77777777" w:rsidR="00B537AA" w:rsidRPr="000D5436" w:rsidRDefault="00523494" w:rsidP="00607E6B">
      <w:pPr>
        <w:pStyle w:val="Affiliation"/>
      </w:pPr>
      <w:r w:rsidRPr="00607E6B">
        <w:rPr>
          <w:rFonts w:ascii="Times New Roman" w:hAnsi="Times New Roman" w:cs="Times New Roman"/>
          <w:sz w:val="18"/>
        </w:rPr>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Pr>
          <w:rFonts w:ascii="Times New Roman" w:hAnsi="Times New Roman" w:cs="Times New Roman" w:eastAsia="Times New Roman"/>
          <w:b w:val="1"/>
          <w:i w:val="1"/>
          <w:sz w:val="18"/>
        </w:rPr>
        <w:t>Abstract</w:t>
      </w:r>
      <w:r>
        <w:rPr>
          <w:rFonts w:ascii="Times New Roman" w:hAnsi="Times New Roman" w:cs="Times New Roman" w:eastAsia="Times New Roman"/>
          <w:b w:val="1"/>
          <w:i w:val="0"/>
          <w:sz w:val="18"/>
        </w:rPr>
        <w: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interpreted descriptively). A frozen accompanying artifact rebuilds the reported diagnostic tables from archived summaries. This is a protocol evaluation, not a classroom intervention.</w:t>
      </w:r>
    </w:p>
    <w:p w14:paraId="5C829D3E" w14:textId="77777777" w:rsidR="001C5E06" w:rsidRPr="0066606C" w:rsidRDefault="005672BF" w:rsidP="00607E6B">
      <w:pPr>
        <w:pStyle w:val="IndexTerms"/>
        <w:rPr>
          <w:b w:val="0"/>
          <w:i/>
        </w:rPr>
      </w:pPr>
      <w:bookmarkStart w:id="0" w:name="PointTmp"/>
      <w:r>
        <w:rPr>
          <w:rFonts w:ascii="Times New Roman" w:hAnsi="Times New Roman" w:cs="Times New Roman" w:eastAsia="Times New Roman"/>
          <w:b w:val="1"/>
          <w:i w:val="1"/>
          <w:sz w:val="18"/>
        </w:rPr>
        <w:t>Keywords</w:t>
      </w:r>
      <w:r>
        <w:rPr>
          <w:rFonts w:ascii="Times New Roman" w:hAnsi="Times New Roman" w:cs="Times New Roman" w:eastAsia="Times New Roman"/>
          <w:b w:val="1"/>
          <w:i w:val="0"/>
          <w:sz w:val="18"/>
        </w:rPr>
        <w:t>—knowledge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We do not propose a </w:t>
      </w:r>
      <w:r w:rsidRPr="00607E6B">
        <w:lastRenderedPageBreak/>
        <w:t>new KT architecture, a new calibration algorithm, or a classroom intervention. 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but are outside the scope of the present diagnostic study.</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 T-KT is not official SimpleKT </w:t>
      </w:r>
      <w:r w:rsidR="00180489">
        <w:t>[4]</w:t>
      </w:r>
      <w:r>
        <w:t>.</w:t>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 Not a new KT architecture.</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Fig. 3).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A4b). A descriptive ECE pattern is not a license to skip occupancy reporting and is not the same as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Methodological extensions beyond the present diagnostic protocol are outside the scope of this study.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24" w:lineRule="exact"/>
      </w:pPr>
      <w:r w:rsidRPr="00607E6B">
        <w:t>This study is a secondary analysis of three publicly released, de-identified educational benchmark datasets: ASSISTments 2012, Junyi Academy, and XES3G5M. The records were de-identified by the original dataset providers before release. The research team did not recruit new participants, including students, teachers, or minors, did not contact learners or their parents or guardians, and did not conduct a classroom intervention. The team did not collect new written consent, new log files, or video recordings. The research team did not collect new personal data, access direct personal identifiers, or attempt to re-identify any learner. The Junyi Academy dump is used under the provider’s CC BY-NC-SA 4.0 terms. The study is not an industry-partnered data collection, and no EdTech company commissioned the analysis. Under the institutional policy of the authors’ institution, this secondary analysis does not require prospective human-subjects ethics review, and no institutional ethics protocol number applies. Data handling was limited to those publicly released, provider-de-identified records. Where the GDPR, FERPA, or another regional data-protection law applies to the source data and its jurisdiction, this handling is the stated basis of compliance.</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24"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Omitted for double-blind review.</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vol. 16946.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