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10819A64" w:rsidR="00A03DD8" w:rsidRPr="000D5436" w:rsidRDefault="00F85705" w:rsidP="00F85705">
      <w:pPr>
        <w:pStyle w:val="StyleAuthorAsianMSMincho"/>
        <w:rPr>
          <w:vertAlign w:val="superscript"/>
        </w:rPr>
      </w:pPr>
      <w:r w:rsidRPr="00F85705">
        <w:rPr>
          <w:rFonts w:ascii="Times New Roman" w:hAnsi="Times New Roman" w:cs="Times New Roman"/>
        </w:rPr>
        <w:t>Anonymous Authors</w:t>
      </w:r>
    </w:p>
    <w:p w14:paraId="118D6F0B" w14:textId="1A7A2F94" w:rsidR="00A03DD8" w:rsidRPr="000D5436" w:rsidRDefault="00F85705" w:rsidP="00607E6B">
      <w:pPr>
        <w:pStyle w:val="Affiliation"/>
      </w:pPr>
      <w:r>
        <w:rPr>
          <w:rFonts w:ascii="Times New Roman" w:hAnsi="Times New Roman" w:cs="Times New Roman"/>
          <w:sz w:val="18"/>
          <w:vertAlign w:val="superscript"/>
        </w:rPr>
        <w:t>Affiliations omitted for double-blind review.</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observed calibration error can be larger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for ASSISTments 2012, does the observed calibration direction remain unchanged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and difficulty descriptor is constructed from training data only, and all reporting thresholds are specified without test-informed tuning.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In the KT literature reviewed here, probability-level evaluation is reported on the pooled population rather than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not reported together in the KT literature reviewed here.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 xml:space="preserve">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w:t>
      </w:r>
      <w:r w:rsidRPr="00607E6B">
        <w:t>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Each Junyi T-KT run is trained and scored on the same official partition; run labels are initialization seeds, not Table A5 split-seed numbers. Table A2 reports the seed-42 / fold-0 gate; Table A3 summarizes the gate over the four unique learner partitions, and its caption gives the corresponding five-run means.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 xml:space="preserve">Main tables use local IRT, DKT, and a local Transformer reference model (T-KT). The original training-container commit is NOT RECOVERED and is not imputed. Source bytes used in the A5 audit are recorded at a commit hash withheld for blind review; the hash is recorded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w:t>
      </w:r>
      <w:r w:rsidR="00180489">
        <w:t>[4]</w:t>
      </w:r>
      <w:r w:rsidRPr="00607E6B">
        <w:t xml:space="preserve"> is scored on ASSISTments AUC/ECE only, as an external ASSISTments check of whether the observed dense-to-sparse ECE direction is unique to the local T-KT reference. Table 2 reports recovered training settings; missing fields are marked NOT RECOVERED and are not imputed.</w:t>
      </w:r>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F85705" w:rsidP="00AE5052">
      <w:pPr>
        <w:pStyle w:val="figurecaption0"/>
        <w:keepNext/>
        <w:spacing w:before="40" w:after="40"/>
      </w:pPr>
      <w:r>
        <w:lastRenderedPageBreak/>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F85705" w:rsidP="00E61DEF">
      <w:pPr>
        <w:pStyle w:val="Text"/>
        <w:keepNext/>
        <w:spacing w:before="40" w:after="40"/>
      </w:pPr>
      <w:r>
        <w:lastRenderedPageBreak/>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 xml:space="preserve">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w:t>
      </w:r>
      <w:r w:rsidRPr="00607E6B">
        <w:lastRenderedPageBreak/>
        <w:t>(B=2000,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are about three times the constant-predictor reference (0.0777) on the same sparse stratum (same events and bin grid, so small-sample ECE bias applies alike).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F85705"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points the other way: ΔFAR is positive in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points the other way, with ΔFAR positive in 0/4 unique partitions (partition-level mean −0.019; five-run mean −0.017; accompanying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 xml:space="preserve">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w:t>
      </w:r>
      <w:r w:rsidR="00180489">
        <w:t>[4]</w:t>
      </w:r>
      <w:r>
        <w:t xml:space="preserve">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w:t>
      </w:r>
      <w:r w:rsidR="00180489">
        <w:t>[26]</w:t>
      </w:r>
      <w:r>
        <w:t xml:space="preserve">, </w:t>
      </w:r>
      <w:r w:rsidR="00180489">
        <w:t>[27]</w:t>
      </w:r>
      <w:r>
        <w:t>. Three datasets cannot establish a universal diagnostic law. We evaluate Junyi at the ucid level only; other concept granularities in that dump are not assessed and are left to future work. The reported diagnostics are reproduced from the frozen accompanying artifact (code_for_review_anonymous.zip)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models can exhibit larger observed calibration error on sparse KCs in some dataset-model settings even when aggregate AUC appears adequate.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 (code_for_review_anonymous.zip).</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rFonts w:ascii="Times New Roman" w:hAnsi="Times New Roman" w:eastAsia="Times New Roman"/>
                <w:b/>
                <w:sz w:val="16"/>
              </w:rPr>
              <w:t>Model</w:t>
            </w:r>
          </w:p>
        </w:tc>
        <w:tc>
          <w:tcPr>
            <w:tcW w:w="1100" w:type="dxa"/>
            <w:vAlign w:val="center"/>
          </w:tcPr>
          <w:p w14:paraId="220DC70B" w14:textId="77777777" w:rsidR="00833477" w:rsidRPr="00564B21" w:rsidRDefault="00833477" w:rsidP="00F076D7">
            <w:pPr>
              <w:pStyle w:val="figurecaption0"/>
              <w:rPr>
                <w:b/>
              </w:rPr>
            </w:pPr>
            <w:r w:rsidRPr="00564B21">
              <w:rPr>
                <w:rFonts w:ascii="Times New Roman" w:hAnsi="Times New Roman" w:eastAsia="Times New Roman"/>
                <w:b/>
                <w:sz w:val="16"/>
              </w:rPr>
              <w:t>Mean ΔFAR</w:t>
            </w:r>
          </w:p>
        </w:tc>
        <w:tc>
          <w:tcPr>
            <w:tcW w:w="700" w:type="dxa"/>
            <w:vAlign w:val="center"/>
          </w:tcPr>
          <w:p w14:paraId="0599A5E6" w14:textId="77777777" w:rsidR="003A66B8" w:rsidRDefault="0056662E" w:rsidP="00F076D7">
            <w:r>
              <w:rPr>
                <w:rFonts w:ascii="Times New Roman" w:hAnsi="Times New Roman" w:eastAsia="Times New Roman"/>
                <w:sz w:val="16"/>
              </w:rPr>
              <w:t>SD</w:t>
            </w:r>
          </w:p>
        </w:tc>
        <w:tc>
          <w:tcPr>
            <w:tcW w:w="1300" w:type="dxa"/>
            <w:vAlign w:val="center"/>
          </w:tcPr>
          <w:p w14:paraId="727E252B" w14:textId="77777777" w:rsidR="003A66B8" w:rsidRDefault="0056662E" w:rsidP="00F076D7">
            <w:r>
              <w:rPr>
                <w:rFonts w:ascii="Times New Roman" w:hAnsi="Times New Roman" w:eastAsia="Times New Roman"/>
                <w:sz w:val="16"/>
              </w:rPr>
              <w:t>Range</w:t>
            </w:r>
          </w:p>
        </w:tc>
        <w:tc>
          <w:tcPr>
            <w:tcW w:w="2200" w:type="dxa"/>
            <w:vAlign w:val="center"/>
          </w:tcPr>
          <w:p w14:paraId="6C64E0CC" w14:textId="77777777" w:rsidR="00833477" w:rsidRPr="00564B21" w:rsidRDefault="00833477" w:rsidP="00F076D7">
            <w:pPr>
              <w:pStyle w:val="figurecaption0"/>
              <w:rPr>
                <w:b/>
              </w:rPr>
            </w:pPr>
            <w:r w:rsidRPr="00564B21">
              <w:rPr>
                <w:rFonts w:ascii="Times New Roman" w:hAnsi="Times New Roman" w:eastAsia="Times New Roman"/>
                <w:b/>
                <w:sz w:val="16"/>
              </w:rPr>
              <w:t>ΔFAR&gt;0</w:t>
            </w:r>
          </w:p>
        </w:tc>
        <w:tc>
          <w:tcPr>
            <w:tcW w:w="900" w:type="dxa"/>
            <w:vAlign w:val="center"/>
          </w:tcPr>
          <w:p w14:paraId="7510EDD0" w14:textId="77777777" w:rsidR="00833477" w:rsidRPr="00564B21" w:rsidRDefault="00833477" w:rsidP="00F076D7">
            <w:pPr>
              <w:pStyle w:val="figurecaption0"/>
              <w:rPr>
                <w:b/>
              </w:rPr>
            </w:pPr>
            <w:r w:rsidRPr="00564B21">
              <w:rPr>
                <w:rFonts w:ascii="Times New Roman" w:hAnsi="Times New Roman" w:eastAsia="Times New Roman"/>
                <w:b/>
                <w:sz w:val="16"/>
              </w:rPr>
              <w:t>Mean N</w:t>
            </w:r>
          </w:p>
        </w:tc>
        <w:tc>
          <w:tcPr>
            <w:tcW w:w="1518" w:type="dxa"/>
            <w:vAlign w:val="center"/>
          </w:tcPr>
          <w:p w14:paraId="25804092" w14:textId="77777777" w:rsidR="00833477" w:rsidRPr="00564B21" w:rsidRDefault="00833477" w:rsidP="00F076D7">
            <w:pPr>
              <w:pStyle w:val="figurecaption0"/>
              <w:rPr>
                <w:b/>
              </w:rPr>
            </w:pPr>
            <w:r w:rsidRPr="00564B21">
              <w:rPr>
                <w:rFonts w:ascii="Times New Roman" w:hAnsi="Times New Roman" w:eastAsia="Times New Roman"/>
                <w:b/>
                <w:sz w:val="16"/>
              </w:rPr>
              <w:t>Mean N_adv</w:t>
            </w:r>
          </w:p>
        </w:tc>
        <w:tc>
          <w:tcPr>
            <w:tcW w:w="1517" w:type="dxa"/>
            <w:vAlign w:val="center"/>
          </w:tcPr>
          <w:p w14:paraId="4439EC31" w14:textId="77777777" w:rsidR="00833477" w:rsidRPr="00564B21" w:rsidRDefault="00833477" w:rsidP="00F076D7">
            <w:pPr>
              <w:pStyle w:val="figurecaption0"/>
              <w:rPr>
                <w:b/>
              </w:rPr>
            </w:pPr>
            <w:r w:rsidRPr="00564B21">
              <w:rPr>
                <w:rFonts w:ascii="Times New Roman" w:hAnsi="Times New Roman" w:eastAsia="Times New Roman"/>
                <w:b/>
                <w:sz w:val="16"/>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rPr>
                <w:rFonts w:ascii="Times New Roman" w:hAnsi="Times New Roman" w:eastAsia="Times New Roman"/>
                <w:sz w:val="16"/>
              </w:rPr>
              <w:t>T-KT</w:t>
            </w:r>
          </w:p>
        </w:tc>
        <w:tc>
          <w:tcPr>
            <w:tcW w:w="1100" w:type="dxa"/>
            <w:vAlign w:val="center"/>
          </w:tcPr>
          <w:p w14:paraId="44548254" w14:textId="77777777" w:rsidR="00833477" w:rsidRPr="00564B21" w:rsidRDefault="00833477" w:rsidP="00F076D7">
            <w:pPr>
              <w:pStyle w:val="figurecaption0"/>
            </w:pPr>
            <w:r w:rsidRPr="00564B21">
              <w:rPr>
                <w:rFonts w:ascii="Times New Roman" w:hAnsi="Times New Roman" w:eastAsia="Times New Roman"/>
                <w:sz w:val="16"/>
              </w:rPr>
              <w:t>0.056</w:t>
            </w:r>
          </w:p>
        </w:tc>
        <w:tc>
          <w:tcPr>
            <w:tcW w:w="700" w:type="dxa"/>
            <w:vAlign w:val="center"/>
          </w:tcPr>
          <w:p>
            <w:r>
              <w:rPr>
                <w:rFonts w:ascii="Times New Roman" w:hAnsi="Times New Roman" w:eastAsia="Times New Roman"/>
                <w:sz w:val="16"/>
              </w:rPr>
              <w:t>0.031</w:t>
            </w:r>
          </w:p>
        </w:tc>
        <w:tc>
          <w:tcPr>
            <w:tcW w:w="1300" w:type="dxa"/>
            <w:vAlign w:val="center"/>
          </w:tcPr>
          <w:p w14:paraId="412FA389" w14:textId="77777777" w:rsidR="003A66B8" w:rsidRDefault="0056662E" w:rsidP="00F076D7">
            <w:r>
              <w:rPr>
                <w:rFonts w:ascii="Times New Roman" w:hAnsi="Times New Roman" w:eastAsia="Times New Roman"/>
                <w:sz w:val="16"/>
              </w:rPr>
              <w:t>0.015–0.087</w:t>
            </w:r>
          </w:p>
        </w:tc>
        <w:tc>
          <w:tcPr>
            <w:tcW w:w="2200" w:type="dxa"/>
            <w:vAlign w:val="center"/>
          </w:tcPr>
          <w:p w14:paraId="5BA18A39" w14:textId="77777777" w:rsidR="00833477" w:rsidRPr="00564B21" w:rsidRDefault="00833477" w:rsidP="00F076D7">
            <w:pPr>
              <w:pStyle w:val="figurecaption0"/>
            </w:pPr>
            <w:r w:rsidRPr="00564B21">
              <w:rPr>
                <w:rFonts w:ascii="Times New Roman" w:hAnsi="Times New Roman" w:eastAsia="Times New Roman"/>
                <w:sz w:val="16"/>
              </w:rPr>
              <w:t>4/4 unique partitions</w:t>
            </w:r>
          </w:p>
        </w:tc>
        <w:tc>
          <w:tcPr>
            <w:tcW w:w="900" w:type="dxa"/>
            <w:vAlign w:val="center"/>
          </w:tcPr>
          <w:p w14:paraId="5F40832C" w14:textId="77777777" w:rsidR="00833477" w:rsidRPr="00564B21" w:rsidRDefault="00833477" w:rsidP="00F076D7">
            <w:pPr>
              <w:pStyle w:val="figurecaption0"/>
            </w:pPr>
            <w:r w:rsidRPr="00564B21">
              <w:rPr>
                <w:rFonts w:ascii="Times New Roman" w:hAnsi="Times New Roman" w:eastAsia="Times New Roman"/>
                <w:sz w:val="16"/>
              </w:rPr>
              <w:t>413</w:t>
            </w:r>
          </w:p>
        </w:tc>
        <w:tc>
          <w:tcPr>
            <w:tcW w:w="1518" w:type="dxa"/>
            <w:vAlign w:val="center"/>
          </w:tcPr>
          <w:p w14:paraId="48F5205A" w14:textId="77777777" w:rsidR="00833477" w:rsidRPr="00564B21" w:rsidRDefault="00833477" w:rsidP="00F076D7">
            <w:pPr>
              <w:pStyle w:val="figurecaption0"/>
            </w:pPr>
            <w:r w:rsidRPr="00564B21">
              <w:rPr>
                <w:rFonts w:ascii="Times New Roman" w:hAnsi="Times New Roman" w:eastAsia="Times New Roman"/>
                <w:sz w:val="16"/>
              </w:rPr>
              <w:t>227</w:t>
            </w:r>
          </w:p>
        </w:tc>
        <w:tc>
          <w:tcPr>
            <w:tcW w:w="1517" w:type="dxa"/>
            <w:vAlign w:val="center"/>
          </w:tcPr>
          <w:p w14:paraId="7EE6EFB6" w14:textId="77777777" w:rsidR="00833477" w:rsidRPr="00564B21" w:rsidRDefault="00833477" w:rsidP="00F076D7">
            <w:pPr>
              <w:pStyle w:val="figurecaption0"/>
            </w:pPr>
            <w:r w:rsidRPr="00564B21">
              <w:rPr>
                <w:rFonts w:ascii="Times New Roman" w:hAnsi="Times New Roman" w:eastAsia="Times New Roman"/>
                <w:sz w:val="16"/>
              </w:rPr>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rPr>
                <w:rFonts w:ascii="Times New Roman" w:hAnsi="Times New Roman" w:eastAsia="Times New Roman"/>
                <w:sz w:val="16"/>
              </w:rPr>
              <w:t>DKT</w:t>
            </w:r>
          </w:p>
        </w:tc>
        <w:tc>
          <w:tcPr>
            <w:tcW w:w="1100" w:type="dxa"/>
            <w:vAlign w:val="center"/>
          </w:tcPr>
          <w:p w14:paraId="341871C5" w14:textId="77777777" w:rsidR="00833477" w:rsidRPr="00564B21" w:rsidRDefault="00833477" w:rsidP="00F076D7">
            <w:pPr>
              <w:pStyle w:val="figurecaption0"/>
            </w:pPr>
            <w:r w:rsidRPr="00564B21">
              <w:rPr>
                <w:rFonts w:ascii="Times New Roman" w:hAnsi="Times New Roman" w:eastAsia="Times New Roman"/>
                <w:sz w:val="16"/>
              </w:rPr>
              <w:t>0.040</w:t>
            </w:r>
          </w:p>
        </w:tc>
        <w:tc>
          <w:tcPr>
            <w:tcW w:w="700" w:type="dxa"/>
            <w:vAlign w:val="center"/>
          </w:tcPr>
          <w:p>
            <w:r>
              <w:rPr>
                <w:rFonts w:ascii="Times New Roman" w:hAnsi="Times New Roman" w:eastAsia="Times New Roman"/>
                <w:sz w:val="16"/>
              </w:rPr>
              <w:t>0.052</w:t>
            </w:r>
          </w:p>
        </w:tc>
        <w:tc>
          <w:tcPr>
            <w:tcW w:w="1300" w:type="dxa"/>
            <w:vAlign w:val="center"/>
          </w:tcPr>
          <w:p w14:paraId="0591BF73" w14:textId="77777777" w:rsidR="003A66B8" w:rsidRDefault="0056662E" w:rsidP="00F076D7">
            <w:r>
              <w:rPr>
                <w:rFonts w:ascii="Times New Roman" w:hAnsi="Times New Roman" w:eastAsia="Times New Roman"/>
                <w:sz w:val="16"/>
              </w:rPr>
              <w:t>−0.011–0.096</w:t>
            </w:r>
          </w:p>
        </w:tc>
        <w:tc>
          <w:tcPr>
            <w:tcW w:w="2200" w:type="dxa"/>
            <w:vAlign w:val="center"/>
          </w:tcPr>
          <w:p w14:paraId="436A4524" w14:textId="77777777" w:rsidR="00833477" w:rsidRPr="00564B21" w:rsidRDefault="00833477" w:rsidP="00F076D7">
            <w:pPr>
              <w:pStyle w:val="figurecaption0"/>
            </w:pPr>
            <w:r w:rsidRPr="00564B21">
              <w:rPr>
                <w:rFonts w:ascii="Times New Roman" w:hAnsi="Times New Roman" w:eastAsia="Times New Roman"/>
                <w:sz w:val="16"/>
              </w:rPr>
              <w:t>3/4 unique partitions</w:t>
            </w:r>
          </w:p>
        </w:tc>
        <w:tc>
          <w:tcPr>
            <w:tcW w:w="900" w:type="dxa"/>
            <w:vAlign w:val="center"/>
          </w:tcPr>
          <w:p w14:paraId="5EEB4FEA" w14:textId="77777777" w:rsidR="00833477" w:rsidRPr="00564B21" w:rsidRDefault="00833477" w:rsidP="00F076D7">
            <w:pPr>
              <w:pStyle w:val="figurecaption0"/>
            </w:pPr>
            <w:r w:rsidRPr="00564B21">
              <w:rPr>
                <w:rFonts w:ascii="Times New Roman" w:hAnsi="Times New Roman" w:eastAsia="Times New Roman"/>
                <w:sz w:val="16"/>
              </w:rPr>
              <w:t>413</w:t>
            </w:r>
          </w:p>
        </w:tc>
        <w:tc>
          <w:tcPr>
            <w:tcW w:w="1518" w:type="dxa"/>
            <w:vAlign w:val="center"/>
          </w:tcPr>
          <w:p w14:paraId="0465BC0C" w14:textId="77777777" w:rsidR="00833477" w:rsidRPr="00564B21" w:rsidRDefault="00833477" w:rsidP="00F076D7">
            <w:pPr>
              <w:pStyle w:val="figurecaption0"/>
            </w:pPr>
            <w:r w:rsidRPr="00564B21">
              <w:rPr>
                <w:rFonts w:ascii="Times New Roman" w:hAnsi="Times New Roman" w:eastAsia="Times New Roman"/>
                <w:sz w:val="16"/>
              </w:rPr>
              <w:t>226</w:t>
            </w:r>
          </w:p>
        </w:tc>
        <w:tc>
          <w:tcPr>
            <w:tcW w:w="1517" w:type="dxa"/>
            <w:vAlign w:val="center"/>
          </w:tcPr>
          <w:p w14:paraId="4DEBCB63" w14:textId="77777777" w:rsidR="00833477" w:rsidRPr="00564B21" w:rsidRDefault="00833477" w:rsidP="00F076D7">
            <w:pPr>
              <w:pStyle w:val="figurecaption0"/>
            </w:pPr>
            <w:r w:rsidRPr="00564B21">
              <w:rPr>
                <w:rFonts w:ascii="Times New Roman" w:hAnsi="Times New Roman" w:eastAsia="Times New Roman"/>
                <w:sz w:val="16"/>
              </w:rPr>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72E104F6" w14:textId="77777777" w:rsidTr="008B279B">
        <w:trPr>
          <w:cantSplit/>
          <w:tblHeader/>
          <w:jc w:val="center"/>
        </w:trPr>
        <w:tc>
          <w:tcPr>
            <w:vAlign w:val="center"/>
            <w:tcW w:w="1036" w:type="dxa"/>
            <w:noWrap/>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vAlign w:val="center"/>
            <w:tcW w:w="850" w:type="dxa"/>
            <w:noWrap/>
          </w:tcPr>
          <w:p w14:paraId="188B233A" w14:textId="77777777" w:rsidR="00833477" w:rsidRPr="008B279B" w:rsidRDefault="00833477" w:rsidP="008B279B">
            <w:pPr>
              <w:pStyle w:val="figurecaption0"/>
              <w:keepLines/>
              <w:rPr>
                <w:b/>
              </w:rPr>
            </w:pPr>
            <w:r w:rsidRPr="008B279B">
              <w:rPr>
                <w:rFonts w:ascii="Times New Roman" w:hAnsi="Times New Roman" w:eastAsia="Times New Roman"/>
                <w:b/>
                <w:sz w:val="16"/>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vAlign w:val="center"/>
            <w:tcW w:w="1143" w:type="dxa"/>
            <w:noWrap/>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vAlign w:val="center"/>
            <w:tcW w:w="1036" w:type="dxa"/>
            <w:noWrap/>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vAlign w:val="center"/>
            <w:tcW w:w="850" w:type="dxa"/>
            <w:noWrap/>
          </w:tcPr>
          <w:p w14:paraId="5FB16D84"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vAlign w:val="center"/>
            <w:tcW w:w="1143" w:type="dxa"/>
            <w:noWrap/>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vAlign w:val="center"/>
            <w:tcW w:w="1036" w:type="dxa"/>
            <w:noWrap/>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vAlign w:val="center"/>
            <w:tcW w:w="850" w:type="dxa"/>
            <w:noWrap/>
          </w:tcPr>
          <w:p w14:paraId="14E3B0A3"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vAlign w:val="center"/>
            <w:tcW w:w="1143" w:type="dxa"/>
            <w:noWrap/>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vAlign w:val="center"/>
            <w:tcW w:w="1036" w:type="dxa"/>
            <w:noWrap/>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vAlign w:val="center"/>
            <w:tcW w:w="850" w:type="dxa"/>
            <w:noWrap/>
          </w:tcPr>
          <w:p w14:paraId="7A297AE5"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vAlign w:val="center"/>
            <w:tcW w:w="1143" w:type="dxa"/>
            <w:noWrap/>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vAlign w:val="center"/>
            <w:tcW w:w="1036" w:type="dxa"/>
            <w:noWrap/>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vAlign w:val="center"/>
            <w:tcW w:w="850" w:type="dxa"/>
            <w:noWrap/>
          </w:tcPr>
          <w:p w14:paraId="097EAA55"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vAlign w:val="center"/>
            <w:tcW w:w="1143" w:type="dxa"/>
            <w:noWrap/>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vAlign w:val="center"/>
            <w:tcW w:w="1036" w:type="dxa"/>
            <w:noWrap/>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vAlign w:val="center"/>
            <w:tcW w:w="850" w:type="dxa"/>
            <w:noWrap/>
          </w:tcPr>
          <w:p w14:paraId="3244909E"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vAlign w:val="center"/>
            <w:tcW w:w="1143" w:type="dxa"/>
            <w:noWrap/>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vAlign w:val="center"/>
            <w:tcW w:w="1036" w:type="dxa"/>
            <w:noWrap/>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vAlign w:val="center"/>
            <w:tcW w:w="850" w:type="dxa"/>
            <w:noWrap/>
          </w:tcPr>
          <w:p w14:paraId="73C2951C"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vAlign w:val="center"/>
            <w:tcW w:w="1143" w:type="dxa"/>
            <w:noWrap/>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vAlign w:val="center"/>
            <w:tcW w:w="1036" w:type="dxa"/>
            <w:noWrap/>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vAlign w:val="center"/>
            <w:tcW w:w="850" w:type="dxa"/>
            <w:noWrap/>
          </w:tcPr>
          <w:p w14:paraId="45C6ECD4" w14:textId="77777777" w:rsidR="00833477" w:rsidRPr="00564B21" w:rsidRDefault="00833477" w:rsidP="00F076D7">
            <w:pPr>
              <w:pStyle w:val="figurecaption0"/>
            </w:pPr>
            <w:r w:rsidRPr="00564B21">
              <w:rPr>
                <w:rFonts w:ascii="Times New Roman" w:hAnsi="Times New Roman" w:eastAsia="Times New Roman"/>
                <w:sz w:val="16"/>
              </w:rPr>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vAlign w:val="center"/>
            <w:tcW w:w="1143" w:type="dxa"/>
            <w:noWrap/>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vAlign w:val="center"/>
            <w:tcW w:w="1036" w:type="dxa"/>
            <w:noWrap/>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vAlign w:val="center"/>
            <w:tcW w:w="850" w:type="dxa"/>
            <w:noWrap/>
          </w:tcPr>
          <w:p w14:paraId="155E04E7" w14:textId="77777777" w:rsidR="00833477" w:rsidRPr="00564B21" w:rsidRDefault="00833477" w:rsidP="00F076D7">
            <w:pPr>
              <w:pStyle w:val="figurecaption0"/>
            </w:pPr>
            <w:r w:rsidRPr="00564B21">
              <w:rPr>
                <w:rFonts w:ascii="Times New Roman" w:hAnsi="Times New Roman" w:eastAsia="Times New Roman"/>
                <w:sz w:val="16"/>
              </w:rPr>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vAlign w:val="center"/>
            <w:tcW w:w="1143" w:type="dxa"/>
            <w:noWrap/>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vAlign w:val="center"/>
            <w:tcW w:w="1036" w:type="dxa"/>
            <w:noWrap/>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vAlign w:val="center"/>
            <w:tcW w:w="850" w:type="dxa"/>
            <w:noWrap/>
          </w:tcPr>
          <w:p w14:paraId="63B5ECAD" w14:textId="77777777" w:rsidR="00833477" w:rsidRPr="00564B21" w:rsidRDefault="00833477" w:rsidP="00F076D7">
            <w:pPr>
              <w:pStyle w:val="figurecaption0"/>
            </w:pPr>
            <w:r w:rsidRPr="00564B21">
              <w:rPr>
                <w:rFonts w:ascii="Times New Roman" w:hAnsi="Times New Roman" w:eastAsia="Times New Roman"/>
                <w:sz w:val="16"/>
              </w:rPr>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vAlign w:val="center"/>
            <w:tcW w:w="1143" w:type="dxa"/>
            <w:noWrap/>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vAlign w:val="center"/>
            <w:tcW w:w="1036" w:type="dxa"/>
            <w:noWrap/>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vAlign w:val="center"/>
            <w:tcW w:w="850" w:type="dxa"/>
            <w:noWrap/>
          </w:tcPr>
          <w:p w14:paraId="682B5FC5"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vAlign w:val="center"/>
            <w:tcW w:w="1143" w:type="dxa"/>
            <w:noWrap/>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vAlign w:val="center"/>
            <w:tcW w:w="1036" w:type="dxa"/>
            <w:noWrap/>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vAlign w:val="center"/>
            <w:tcW w:w="850" w:type="dxa"/>
            <w:noWrap/>
          </w:tcPr>
          <w:p w14:paraId="1AE2D6D5"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vAlign w:val="center"/>
            <w:tcW w:w="1143" w:type="dxa"/>
            <w:noWrap/>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vAlign w:val="center"/>
            <w:tcW w:w="1036" w:type="dxa"/>
            <w:noWrap/>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vAlign w:val="center"/>
            <w:tcW w:w="850" w:type="dxa"/>
            <w:noWrap/>
          </w:tcPr>
          <w:p w14:paraId="20141CE7"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vAlign w:val="center"/>
            <w:tcW w:w="1143" w:type="dxa"/>
            <w:noWrap/>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vAlign w:val="center"/>
            <w:tcW w:w="1036" w:type="dxa"/>
            <w:noWrap/>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vAlign w:val="center"/>
            <w:tcW w:w="850" w:type="dxa"/>
            <w:noWrap/>
          </w:tcPr>
          <w:p w14:paraId="4B558802"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vAlign w:val="center"/>
            <w:tcW w:w="1143" w:type="dxa"/>
            <w:noWrap/>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vAlign w:val="center"/>
            <w:tcW w:w="1036" w:type="dxa"/>
            <w:noWrap/>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vAlign w:val="center"/>
            <w:tcW w:w="850" w:type="dxa"/>
            <w:noWrap/>
          </w:tcPr>
          <w:p w14:paraId="5A7A6551" w14:textId="77777777" w:rsidR="00833477" w:rsidRPr="00564B21" w:rsidRDefault="00833477" w:rsidP="00F076D7">
            <w:pPr>
              <w:pStyle w:val="figurecaption0"/>
            </w:pPr>
            <w:r w:rsidRPr="00564B21">
              <w:rPr>
                <w:rFonts w:ascii="Times New Roman" w:hAnsi="Times New Roman" w:eastAsia="Times New Roman"/>
                <w:sz w:val="16"/>
              </w:rPr>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vAlign w:val="center"/>
            <w:tcW w:w="1143" w:type="dxa"/>
            <w:noWrap/>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vAlign w:val="center"/>
            <w:tcW w:w="1036" w:type="dxa"/>
            <w:noWrap/>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vAlign w:val="center"/>
            <w:tcW w:w="850" w:type="dxa"/>
            <w:noWrap/>
          </w:tcPr>
          <w:p w14:paraId="7E53FE62" w14:textId="77777777" w:rsidR="00833477" w:rsidRPr="00564B21" w:rsidRDefault="00833477" w:rsidP="00F076D7">
            <w:pPr>
              <w:pStyle w:val="figurecaption0"/>
            </w:pPr>
            <w:r w:rsidRPr="00564B21">
              <w:rPr>
                <w:rFonts w:ascii="Times New Roman" w:hAnsi="Times New Roman" w:eastAsia="Times New Roman"/>
                <w:sz w:val="16"/>
              </w:rPr>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vAlign w:val="center"/>
            <w:tcW w:w="1143" w:type="dxa"/>
            <w:noWrap/>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036"/>
        <w:gridCol w:w="759"/>
        <w:gridCol w:w="960"/>
        <w:gridCol w:w="850"/>
        <w:gridCol w:w="520"/>
        <w:gridCol w:w="1193"/>
        <w:gridCol w:w="1143"/>
        <w:gridCol w:w="1193"/>
        <w:gridCol w:w="1193"/>
        <w:gridCol w:w="1193"/>
      </w:tblGrid>
      <w:tr w:rsidR="00833477" w:rsidRPr="00564B21" w14:paraId="0266BCCD" w14:textId="77777777" w:rsidTr="008B279B">
        <w:trPr>
          <w:cantSplit/>
          <w:tblHeader/>
          <w:jc w:val="center"/>
        </w:trPr>
        <w:tc>
          <w:tcPr>
            <w:vAlign w:val="center"/>
            <w:tcW w:w="1036" w:type="dxa"/>
            <w:noWrap/>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vAlign w:val="center"/>
            <w:tcW w:w="850" w:type="dxa"/>
            <w:noWrap/>
          </w:tcPr>
          <w:p w14:paraId="61AC0336" w14:textId="77777777" w:rsidR="00833477" w:rsidRPr="008B279B" w:rsidRDefault="00833477" w:rsidP="008B279B">
            <w:pPr>
              <w:pStyle w:val="figurecaption0"/>
              <w:keepLines/>
              <w:rPr>
                <w:b/>
              </w:rPr>
            </w:pPr>
            <w:r w:rsidRPr="008B279B">
              <w:rPr>
                <w:rFonts w:ascii="Times New Roman" w:hAnsi="Times New Roman" w:eastAsia="Times New Roman"/>
                <w:b/>
                <w:sz w:val="16"/>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vAlign w:val="center"/>
            <w:tcW w:w="1143" w:type="dxa"/>
            <w:noWrap/>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vAlign w:val="center"/>
            <w:tcW w:w="1036" w:type="dxa"/>
            <w:noWrap/>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vAlign w:val="center"/>
            <w:tcW w:w="850" w:type="dxa"/>
            <w:noWrap/>
          </w:tcPr>
          <w:p w14:paraId="36B4B79C"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vAlign w:val="center"/>
            <w:tcW w:w="1143" w:type="dxa"/>
            <w:noWrap/>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vAlign w:val="center"/>
            <w:tcW w:w="1036" w:type="dxa"/>
            <w:noWrap/>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vAlign w:val="center"/>
            <w:tcW w:w="850" w:type="dxa"/>
            <w:noWrap/>
          </w:tcPr>
          <w:p w14:paraId="7D1F3CED"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vAlign w:val="center"/>
            <w:tcW w:w="1143" w:type="dxa"/>
            <w:noWrap/>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vAlign w:val="center"/>
            <w:tcW w:w="1036" w:type="dxa"/>
            <w:noWrap/>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vAlign w:val="center"/>
            <w:tcW w:w="850" w:type="dxa"/>
            <w:noWrap/>
          </w:tcPr>
          <w:p w14:paraId="0F3F9F1D"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vAlign w:val="center"/>
            <w:tcW w:w="1143" w:type="dxa"/>
            <w:noWrap/>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vAlign w:val="center"/>
            <w:tcW w:w="1036" w:type="dxa"/>
            <w:noWrap/>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vAlign w:val="center"/>
            <w:tcW w:w="850" w:type="dxa"/>
            <w:noWrap/>
          </w:tcPr>
          <w:p w14:paraId="44F48757"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vAlign w:val="center"/>
            <w:tcW w:w="1143" w:type="dxa"/>
            <w:noWrap/>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vAlign w:val="center"/>
            <w:tcW w:w="1036" w:type="dxa"/>
            <w:noWrap/>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vAlign w:val="center"/>
            <w:tcW w:w="850" w:type="dxa"/>
            <w:noWrap/>
          </w:tcPr>
          <w:p w14:paraId="7151FE15"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vAlign w:val="center"/>
            <w:tcW w:w="1143" w:type="dxa"/>
            <w:noWrap/>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vAlign w:val="center"/>
            <w:tcW w:w="1036" w:type="dxa"/>
            <w:noWrap/>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vAlign w:val="center"/>
            <w:tcW w:w="850" w:type="dxa"/>
            <w:noWrap/>
          </w:tcPr>
          <w:p w14:paraId="0E41263E"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vAlign w:val="center"/>
            <w:tcW w:w="1143" w:type="dxa"/>
            <w:noWrap/>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vAlign w:val="center"/>
            <w:tcW w:w="1036" w:type="dxa"/>
            <w:noWrap/>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vAlign w:val="center"/>
            <w:tcW w:w="850" w:type="dxa"/>
            <w:noWrap/>
          </w:tcPr>
          <w:p w14:paraId="5A7728A8" w14:textId="77777777" w:rsidR="00833477" w:rsidRPr="00564B21" w:rsidRDefault="00833477" w:rsidP="00F076D7">
            <w:pPr>
              <w:pStyle w:val="figurecaption0"/>
            </w:pPr>
            <w:r w:rsidRPr="00564B21">
              <w:rPr>
                <w:rFonts w:ascii="Times New Roman" w:hAnsi="Times New Roman" w:eastAsia="Times New Roman"/>
                <w:sz w:val="16"/>
              </w:rPr>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vAlign w:val="center"/>
            <w:tcW w:w="1143" w:type="dxa"/>
            <w:noWrap/>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vAlign w:val="center"/>
            <w:tcW w:w="1036" w:type="dxa"/>
            <w:noWrap/>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vAlign w:val="center"/>
            <w:tcW w:w="850" w:type="dxa"/>
            <w:noWrap/>
          </w:tcPr>
          <w:p w14:paraId="1C716362" w14:textId="77777777" w:rsidR="00833477" w:rsidRPr="00564B21" w:rsidRDefault="00833477" w:rsidP="00F076D7">
            <w:pPr>
              <w:pStyle w:val="figurecaption0"/>
            </w:pPr>
            <w:r w:rsidRPr="00564B21">
              <w:rPr>
                <w:rFonts w:ascii="Times New Roman" w:hAnsi="Times New Roman" w:eastAsia="Times New Roman"/>
                <w:sz w:val="16"/>
              </w:rPr>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vAlign w:val="center"/>
            <w:tcW w:w="1143" w:type="dxa"/>
            <w:noWrap/>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vAlign w:val="center"/>
            <w:tcW w:w="1036" w:type="dxa"/>
            <w:noWrap/>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vAlign w:val="center"/>
            <w:tcW w:w="850" w:type="dxa"/>
            <w:noWrap/>
          </w:tcPr>
          <w:p w14:paraId="4FC770AD" w14:textId="77777777" w:rsidR="00833477" w:rsidRPr="00564B21" w:rsidRDefault="00833477" w:rsidP="00F076D7">
            <w:pPr>
              <w:pStyle w:val="figurecaption0"/>
            </w:pPr>
            <w:r w:rsidRPr="00564B21">
              <w:rPr>
                <w:rFonts w:ascii="Times New Roman" w:hAnsi="Times New Roman" w:eastAsia="Times New Roman"/>
                <w:sz w:val="16"/>
              </w:rPr>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vAlign w:val="center"/>
            <w:tcW w:w="1143" w:type="dxa"/>
            <w:noWrap/>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 Junyi T-KT run labels: see III.B.</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4D70D3F9" w:rsidR="00F81442" w:rsidRDefault="00F85705" w:rsidP="00F85705">
      <w:pPr>
        <w:pStyle w:val="Text"/>
      </w:pPr>
      <w:r>
        <w:t>Author 1: Conceptualization, Methodology, Software, Formal analysis, and Writing (led diagnostic design, experiments, and manuscript). Authors 2 and 3: Software (data processing and baseline runs). Author 4: Methodology (methodological review). Author 5: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0C42286C" w:rsidR="005D642D" w:rsidRDefault="00F85705" w:rsidP="00607E6B">
      <w:pPr>
        <w:pStyle w:val="Text"/>
        <w:spacing w:line="252" w:lineRule="exact"/>
        <w:rPr>
          <w:noProof/>
        </w:rPr>
      </w:pPr>
      <w:r>
        <w:rPr>
          <w:noProof/>
        </w:rPr>
        <w:t>Anonymized code, data-preprocessing scripts, frozen diagnostic summaries, and the accompanying-artifact files needed to rebuild the reported tables (including the τ-grid and controlled-sparsification grid) are provided as code_for_review_anonymous.zip for double-blind review. Source benchmark datasets are publicly released by their original providers. Upon acceptance those same artifact contents will be included in the public repository.</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64032E3" w:rsidR="00F81442" w:rsidRDefault="00F85705" w:rsidP="00F85705">
      <w:pPr>
        <w:pStyle w:val="Text"/>
      </w:pPr>
      <w:r>
        <w:t>Omitted for double-blind review.</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E41C" w14:textId="77777777" w:rsidR="00D00013" w:rsidRDefault="00D00013">
      <w:r>
        <w:separator/>
      </w:r>
    </w:p>
  </w:endnote>
  <w:endnote w:type="continuationSeparator" w:id="0">
    <w:p w14:paraId="1DD47A5A" w14:textId="77777777" w:rsidR="00D00013" w:rsidRDefault="00D00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C20CD" w14:textId="77777777" w:rsidR="00D00013" w:rsidRDefault="00D00013"/>
  </w:footnote>
  <w:footnote w:type="continuationSeparator" w:id="0">
    <w:p w14:paraId="2D6117EC" w14:textId="77777777" w:rsidR="00D00013" w:rsidRDefault="00D00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0013"/>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5705"/>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8861</Words>
  <Characters>51711</Characters>
  <Application>Microsoft Office Word</Application>
  <DocSecurity>0</DocSecurity>
  <Lines>1647</Lines>
  <Paragraphs>1049</Paragraphs>
  <ScaleCrop>false</ScaleCrop>
  <HeadingPairs>
    <vt:vector size="2" baseType="variant">
      <vt:variant>
        <vt:lpstr>Title</vt:lpstr>
      </vt:variant>
      <vt:variant>
        <vt:i4>1</vt:i4>
      </vt:variant>
    </vt:vector>
  </HeadingPairs>
  <TitlesOfParts>
    <vt:vector size="1" baseType="lpstr">
      <vt:lpstr>Reproducible Sparse-Concept and Calibration Diagnostics for Knowledge Tracing</vt:lpstr>
    </vt:vector>
  </TitlesOfParts>
  <Manager/>
  <Company/>
  <LinksUpToDate>false</LinksUpToDate>
  <CharactersWithSpaces>59443</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
  <cp:keywords/>
  <dc:description/>
  <cp:lastModifiedBy/>
  <cp:revision>3</cp:revision>
  <dcterms:created xsi:type="dcterms:W3CDTF">2026-09-24T14:00:00Z</dcterms:created>
  <dcterms:modified xsi:type="dcterms:W3CDTF">2026-09-24T14:00:00Z</dcterms:modified>
</cp:coreProperties>
</file>

<file path=docProps/custom.xml><?xml version="1.0" encoding="utf-8"?>
<Properties xmlns="http://schemas.openxmlformats.org/officeDocument/2006/custom-properties" xmlns:vt="http://schemas.openxmlformats.org/officeDocument/2006/docPropsVTypes"/>
</file>