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60D51324"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Pr>
          <w:rFonts w:ascii="Times New Roman" w:hAnsi="Times New Roman" w:cs="Times New Roman" w:eastAsia="Times New Roman"/>
          <w:b w:val="1"/>
          <w:i w:val="1"/>
          <w:sz w:val="18"/>
        </w:rPr>
        <w:t>Abstract</w:t>
      </w:r>
      <w:r>
        <w:rPr>
          <w:rFonts w:ascii="Times New Roman" w:hAnsi="Times New Roman" w:cs="Times New Roman" w:eastAsia="Times New Roman"/>
          <w:b w:val="1"/>
          <w:i w:val="0"/>
          <w:sz w:val="18"/>
        </w:rPr>
        <w: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Section IV.B). A frozen accompanying artifact rebuilds the reported diagnostic tables from archived summaries.</w:t>
      </w:r>
    </w:p>
    <w:p w14:paraId="5C829D3E" w14:textId="77777777" w:rsidR="001C5E06" w:rsidRPr="0066606C" w:rsidRDefault="005672BF" w:rsidP="00607E6B">
      <w:pPr>
        <w:pStyle w:val="IndexTerms"/>
        <w:rPr>
          <w:b w:val="0"/>
          <w:i/>
        </w:rPr>
      </w:pPr>
      <w:bookmarkStart w:id="0" w:name="PointTmp"/>
      <w:r>
        <w:rPr>
          <w:rFonts w:ascii="Times New Roman" w:hAnsi="Times New Roman" w:cs="Times New Roman" w:eastAsia="Times New Roman"/>
          <w:b w:val="1"/>
          <w:i w:val="1"/>
          <w:sz w:val="18"/>
        </w:rPr>
        <w:t>Keywords</w:t>
      </w:r>
      <w:r>
        <w:rPr>
          <w:rFonts w:ascii="Times New Roman" w:hAnsi="Times New Roman" w:cs="Times New Roman" w:eastAsia="Times New Roman"/>
          <w:b w:val="1"/>
          <w:i w:val="0"/>
          <w:sz w:val="18"/>
        </w:rPr>
        <w:t>—knowledge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bucket is empty, so the sparse ECE contrast is undefined. T-KT still rises from dense to medium (Section IV.B). XES3G5M does not show the same adverse dense-to-sparse ECE gradient observed on ASSISTments. The observed 0.1176 / 0.1129 / 0.1254 difference is small relative to the ASSISTments contrast (Section IV.B).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t>
      </w:r>
      <w:r w:rsidRPr="00607E6B">
        <w:t>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but are outside the scope of the present diagnostic study.</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This protocol scores low-frequency KCs. Sparse attention can still be applied to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w:t>
      </w:r>
      <w:r w:rsidR="00180489"/>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report it as a base-rate reference. The result is specific to this implementation, not to item-response theory in general.</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T-KT ECE rises from 0.0817±0.0070 to 0.1136±0.0155 (same scored N as DKT/IRT after aligning T-KT exports to official learner partitions; Fig. 3). On XES3G5M, T-KT ECE does not show the same adverse dense-to-sparse gradient as ASSISTments. The observed values are 0.1176, 0.1129, and 0.1254. They differ by a small amount relative to the ASSISTments contrast, despite Reliable sparse occupancy (N=1,969). T-KT Brier is not worse on sparse than dense (0.149 vs 0.156). That difference is interpreted descriptively. DKT on the same XES partitions is not a counter-pattern: ECE, Brier, and REL all rise from dense to sparse (Table A4b). Occupancy is still reported with that pattern. It is not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Section IV.B)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not a recommended production threshold.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the simulated probe defined in Section III.H.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the local reference in Section III.C. Official SimpleKT remains the external ASSISTments check reported there. Temporal evaluation uses a single corrected cutoff (seed 42). Seeds 2025 and 2026 share a split. R/L/I are descriptive support flags. ECE depends on binning. We do not report size-matched or cluster-bootstrap confidence intervals for primary stratum ΔECE;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Section IV.B); XES DKT calibration does not follow that T-KT pattern. The train-only strata, leakage checklist, and per-stratum ECE/Brier diagnostics are therefore conditionally useful. Methodological extensions beyond the present diagnostic protocol are outside the scope of this study.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Hung Yen University of Technology and Engineering,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This work received no specific funding. It is not part of any research grant or funded project.</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vol. 16946.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