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F134E">
      <w:pPr>
        <w:rPr>
          <w:rFonts w:ascii="Segoe UI" w:hAnsi="Segoe UI" w:cs="Segoe UI"/>
          <w:color w:val="171717"/>
          <w:shd w:val="clear" w:color="auto" w:fill="FFFFFF"/>
        </w:rPr>
      </w:pPr>
      <w:r>
        <w:t xml:space="preserve">Cung cấp simple Api để configue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IMutableEntityType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FF134E" w:rsidRDefault="00FF134E">
      <w:r>
        <w:rPr>
          <w:noProof/>
        </w:rPr>
        <w:drawing>
          <wp:inline distT="0" distB="0" distL="0" distR="0" wp14:anchorId="5EC8F31B" wp14:editId="443EA267">
            <wp:extent cx="594360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7A"/>
    <w:rsid w:val="00091A60"/>
    <w:rsid w:val="0026287A"/>
    <w:rsid w:val="00974D47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90CE4-1F9B-4314-96D1-F0A7318F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1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dotnet/api/microsoft.entityframeworkcore.metadata.imutableentitytype?view=efcore-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2020-04-19T13:00:00Z</dcterms:created>
  <dcterms:modified xsi:type="dcterms:W3CDTF">2020-04-19T13:01:00Z</dcterms:modified>
</cp:coreProperties>
</file>