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2BA7" w14:textId="77777777" w:rsidR="00D038D1" w:rsidRDefault="00D038D1" w:rsidP="00B6560A">
      <w:pPr>
        <w:spacing w:before="0" w:after="0"/>
      </w:pPr>
    </w:p>
    <w:p w14:paraId="04276F41" w14:textId="77777777" w:rsidR="00DD7ABC" w:rsidRDefault="00DD7ABC" w:rsidP="00B6560A">
      <w:pPr>
        <w:spacing w:before="0" w:after="0"/>
      </w:pPr>
    </w:p>
    <w:p w14:paraId="77E3C2F6" w14:textId="77777777" w:rsidR="00DD7ABC" w:rsidRDefault="00DD7ABC" w:rsidP="00DD7ABC">
      <w:pPr>
        <w:spacing w:before="0" w:after="0"/>
      </w:pPr>
      <w:r>
        <w:t>Date</w:t>
      </w:r>
    </w:p>
    <w:p w14:paraId="77BB59F7" w14:textId="77777777" w:rsidR="00DD7ABC" w:rsidRDefault="00DD7ABC" w:rsidP="00DD7ABC">
      <w:pPr>
        <w:spacing w:before="0" w:after="0"/>
      </w:pPr>
    </w:p>
    <w:p w14:paraId="697749A5" w14:textId="77777777" w:rsidR="00DD7ABC" w:rsidRDefault="00DD7ABC" w:rsidP="00DD7ABC">
      <w:pPr>
        <w:spacing w:before="0" w:after="0"/>
      </w:pPr>
    </w:p>
    <w:p w14:paraId="205134F5" w14:textId="77777777" w:rsidR="00DD7ABC" w:rsidRDefault="00DD7ABC" w:rsidP="00DD7ABC">
      <w:pPr>
        <w:spacing w:before="0" w:after="0"/>
      </w:pPr>
      <w:r>
        <w:t>Name</w:t>
      </w:r>
    </w:p>
    <w:p w14:paraId="666951B3" w14:textId="77777777" w:rsidR="00DD7ABC" w:rsidRDefault="00DD7ABC" w:rsidP="00DD7ABC">
      <w:pPr>
        <w:spacing w:before="0" w:after="0"/>
      </w:pPr>
      <w:r>
        <w:t>Title</w:t>
      </w:r>
    </w:p>
    <w:p w14:paraId="717030CB" w14:textId="77777777" w:rsidR="00DD7ABC" w:rsidRDefault="00DD7ABC" w:rsidP="00DD7ABC">
      <w:pPr>
        <w:spacing w:before="0" w:after="0"/>
      </w:pPr>
      <w:r>
        <w:t>Business</w:t>
      </w:r>
    </w:p>
    <w:p w14:paraId="780CC3BE" w14:textId="77777777" w:rsidR="00DD7ABC" w:rsidRDefault="00DD7ABC" w:rsidP="00DD7ABC">
      <w:pPr>
        <w:spacing w:before="0" w:after="0"/>
      </w:pPr>
      <w:r>
        <w:t>Street Address</w:t>
      </w:r>
    </w:p>
    <w:p w14:paraId="1CBE54B9" w14:textId="77777777" w:rsidR="00DD7ABC" w:rsidRDefault="00DD7ABC" w:rsidP="00DD7ABC">
      <w:pPr>
        <w:spacing w:before="0" w:after="0"/>
      </w:pPr>
      <w:r>
        <w:t xml:space="preserve">City, </w:t>
      </w:r>
      <w:proofErr w:type="gramStart"/>
      <w:r>
        <w:t>STATE  Zip</w:t>
      </w:r>
      <w:proofErr w:type="gramEnd"/>
    </w:p>
    <w:p w14:paraId="4CC50B0F" w14:textId="77777777" w:rsidR="00A631D1" w:rsidRDefault="00A631D1" w:rsidP="00A631D1">
      <w:pPr>
        <w:spacing w:before="0" w:after="0"/>
      </w:pPr>
    </w:p>
    <w:p w14:paraId="3E460DB9" w14:textId="77777777" w:rsidR="00A631D1" w:rsidRDefault="00A631D1" w:rsidP="00A631D1">
      <w:pPr>
        <w:spacing w:before="0" w:after="0"/>
      </w:pPr>
      <w:r>
        <w:t xml:space="preserve">SUBJECT </w:t>
      </w:r>
      <w:smartTag w:uri="urn:schemas-microsoft-com:office:smarttags" w:element="stockticker">
        <w:r>
          <w:t>ALL</w:t>
        </w:r>
      </w:smartTag>
      <w:r>
        <w:t xml:space="preserve"> </w:t>
      </w:r>
      <w:smartTag w:uri="urn:schemas-microsoft-com:office:smarttags" w:element="stockticker">
        <w:r>
          <w:t>CAPS</w:t>
        </w:r>
      </w:smartTag>
    </w:p>
    <w:p w14:paraId="208952CB" w14:textId="77777777" w:rsidR="00A631D1" w:rsidRDefault="00A631D1" w:rsidP="00A631D1">
      <w:pPr>
        <w:spacing w:before="0" w:after="0"/>
      </w:pPr>
    </w:p>
    <w:p w14:paraId="4F39EE64" w14:textId="78F95AEA" w:rsidR="00DD7ABC" w:rsidRPr="002B6AE4" w:rsidRDefault="00DD7ABC" w:rsidP="00DD7ABC">
      <w:pPr>
        <w:spacing w:before="0" w:after="0"/>
      </w:pPr>
      <w:r w:rsidRPr="002B6AE4">
        <w:t xml:space="preserve">Dear </w:t>
      </w:r>
      <w:r>
        <w:t>Ms.</w:t>
      </w:r>
      <w:r w:rsidR="00A15C8F">
        <w:t xml:space="preserve"> Erin Chappell,</w:t>
      </w:r>
    </w:p>
    <w:p w14:paraId="3CA585B6" w14:textId="074EC93C" w:rsidR="009E3B83" w:rsidRPr="009E3B83" w:rsidRDefault="009E3B83" w:rsidP="009E3B83">
      <w:pPr>
        <w:rPr>
          <w:b/>
          <w:bCs/>
        </w:rPr>
      </w:pPr>
      <w:r w:rsidRPr="00457F72">
        <w:rPr>
          <w:b/>
          <w:bCs/>
        </w:rPr>
        <w:t>Index Calculation</w:t>
      </w:r>
    </w:p>
    <w:p w14:paraId="7782AFD2" w14:textId="748AB752" w:rsidR="009E3B83" w:rsidRDefault="009E3B83" w:rsidP="009E3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theme="minorHAnsi"/>
        </w:rPr>
      </w:pPr>
      <w:r w:rsidRPr="00B43291">
        <w:rPr>
          <w:rFonts w:cstheme="minorHAnsi"/>
        </w:rPr>
        <w:t>The annual 20-mm Survey monitors the distribution and relative abundance of post-larval and juvenile Delta Smelt throughout their historical range. Nine week-long surveys are conducted every other week from mid-March through early July. Each survey samples a total of 47 stations: 41 “index stations” which have been sampled since the inception of the survey and 6 “non-index stations” in the North Delta which were added to the sampling regime in 2008. When water flows are high an additional 5 non-index stations are sampled in San Pablo Bay.</w:t>
      </w:r>
      <w:r>
        <w:rPr>
          <w:rFonts w:cstheme="minorHAnsi"/>
        </w:rPr>
        <w:t xml:space="preserve"> Figure 1 showcases the location of all 20-mm stations.</w:t>
      </w:r>
    </w:p>
    <w:p w14:paraId="6BA013CE" w14:textId="77777777" w:rsidR="009E3B83" w:rsidRDefault="009E3B83" w:rsidP="009E3B8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CF275A">
        <w:rPr>
          <w:rFonts w:cstheme="minorHAnsi"/>
          <w:noProof/>
        </w:rPr>
        <w:drawing>
          <wp:inline distT="0" distB="0" distL="0" distR="0" wp14:anchorId="42D8B23E" wp14:editId="34F33EB1">
            <wp:extent cx="5460302" cy="273015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60302" cy="2730151"/>
                    </a:xfrm>
                    <a:prstGeom prst="rect">
                      <a:avLst/>
                    </a:prstGeom>
                  </pic:spPr>
                </pic:pic>
              </a:graphicData>
            </a:graphic>
          </wp:inline>
        </w:drawing>
      </w:r>
    </w:p>
    <w:p w14:paraId="7724C43D" w14:textId="63DF952D" w:rsidR="009E3B83" w:rsidRPr="009E3B83" w:rsidRDefault="009E3B83" w:rsidP="009E3B83">
      <w:pPr>
        <w:pStyle w:val="Caption"/>
        <w:jc w:val="center"/>
        <w:rPr>
          <w:rFonts w:ascii="Arial" w:hAnsi="Arial" w:cs="Arial"/>
          <w:sz w:val="24"/>
          <w:szCs w:val="24"/>
        </w:rPr>
      </w:pPr>
      <w:r w:rsidRPr="009E3B83">
        <w:rPr>
          <w:rFonts w:ascii="Arial" w:hAnsi="Arial" w:cs="Arial"/>
          <w:sz w:val="24"/>
          <w:szCs w:val="24"/>
        </w:rPr>
        <w:t xml:space="preserve">Figure </w:t>
      </w:r>
      <w:r w:rsidRPr="009E3B83">
        <w:rPr>
          <w:rFonts w:ascii="Arial" w:hAnsi="Arial" w:cs="Arial"/>
          <w:sz w:val="24"/>
          <w:szCs w:val="24"/>
        </w:rPr>
        <w:fldChar w:fldCharType="begin"/>
      </w:r>
      <w:r w:rsidRPr="009E3B83">
        <w:rPr>
          <w:rFonts w:ascii="Arial" w:hAnsi="Arial" w:cs="Arial"/>
          <w:sz w:val="24"/>
          <w:szCs w:val="24"/>
        </w:rPr>
        <w:instrText xml:space="preserve"> SEQ Figure \* ARABIC </w:instrText>
      </w:r>
      <w:r w:rsidRPr="009E3B83">
        <w:rPr>
          <w:rFonts w:ascii="Arial" w:hAnsi="Arial" w:cs="Arial"/>
          <w:sz w:val="24"/>
          <w:szCs w:val="24"/>
        </w:rPr>
        <w:fldChar w:fldCharType="separate"/>
      </w:r>
      <w:r w:rsidRPr="009E3B83">
        <w:rPr>
          <w:rFonts w:ascii="Arial" w:hAnsi="Arial" w:cs="Arial"/>
          <w:noProof/>
          <w:sz w:val="24"/>
          <w:szCs w:val="24"/>
        </w:rPr>
        <w:t>1</w:t>
      </w:r>
      <w:r w:rsidRPr="009E3B83">
        <w:rPr>
          <w:rFonts w:ascii="Arial" w:hAnsi="Arial" w:cs="Arial"/>
          <w:sz w:val="24"/>
          <w:szCs w:val="24"/>
        </w:rPr>
        <w:fldChar w:fldCharType="end"/>
      </w:r>
      <w:r w:rsidRPr="009E3B83">
        <w:rPr>
          <w:rFonts w:ascii="Arial" w:hAnsi="Arial" w:cs="Arial"/>
          <w:sz w:val="24"/>
          <w:szCs w:val="24"/>
        </w:rPr>
        <w:t>. The locations of each 20-mm site.</w:t>
      </w:r>
    </w:p>
    <w:p w14:paraId="24C85F4C" w14:textId="04FAF7AF" w:rsidR="009E3B83" w:rsidRPr="00B43291" w:rsidRDefault="009E3B83" w:rsidP="009E3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theme="minorHAnsi"/>
        </w:rPr>
      </w:pPr>
      <w:r w:rsidRPr="00B43291">
        <w:rPr>
          <w:rFonts w:cstheme="minorHAnsi"/>
        </w:rPr>
        <w:lastRenderedPageBreak/>
        <w:t xml:space="preserve">To calculate the index, Delta Smelt catch at each station is standardized to a volume of 10,000 cubic meters (i.e., </w:t>
      </w:r>
      <w:r>
        <w:rPr>
          <w:rFonts w:cstheme="minorHAnsi"/>
        </w:rPr>
        <w:t xml:space="preserve">catch per unit effort, </w:t>
      </w:r>
      <w:r w:rsidRPr="00B43291">
        <w:rPr>
          <w:rFonts w:cstheme="minorHAnsi"/>
        </w:rPr>
        <w:t xml:space="preserve">CPUE). The mean station CPUE is used to calculate the geometric mean of the four index surveys, which are summed to produce the annual index. The index surveys are comprised of the two surveys directly before and the two surveys directly after Delta Smelt mean fork length reaches 20 mm. Since the index is calculated using a geometric mean, both abundance and distribution can affect the magnitude.   </w:t>
      </w:r>
    </w:p>
    <w:p w14:paraId="39C68C1A" w14:textId="2363224E" w:rsidR="009E3B83" w:rsidRPr="009E3B83" w:rsidRDefault="009E3B83" w:rsidP="009E3B83">
      <w:pPr>
        <w:rPr>
          <w:b/>
          <w:bCs/>
        </w:rPr>
      </w:pPr>
      <w:r w:rsidRPr="00457F72">
        <w:rPr>
          <w:b/>
          <w:bCs/>
        </w:rPr>
        <w:t>Changes to the Index calculations</w:t>
      </w:r>
    </w:p>
    <w:p w14:paraId="10F98615" w14:textId="269EDBE1" w:rsidR="009E3B83" w:rsidRDefault="009E3B83" w:rsidP="009E3B83">
      <w:r>
        <w:t xml:space="preserve">Beginning in the 2022 season, the </w:t>
      </w:r>
      <w:r w:rsidR="009F7B0B">
        <w:t>index</w:t>
      </w:r>
      <w:r>
        <w:t xml:space="preserve"> features several modifications to its calculations. All changes and calculations are documented in an R script</w:t>
      </w:r>
      <w:r w:rsidR="00941525">
        <w:rPr>
          <w:rStyle w:val="FootnoteReference"/>
        </w:rPr>
        <w:footnoteReference w:id="1"/>
      </w:r>
      <w:r>
        <w:rPr>
          <w:vertAlign w:val="superscript"/>
        </w:rPr>
        <w:t xml:space="preserve"> </w:t>
      </w:r>
      <w:r>
        <w:t xml:space="preserve">calculating the provided </w:t>
      </w:r>
      <w:r w:rsidR="009F7B0B">
        <w:t>index</w:t>
      </w:r>
      <w:r>
        <w:t xml:space="preserve"> values. These changes are: </w:t>
      </w:r>
    </w:p>
    <w:p w14:paraId="4F9995CA" w14:textId="77777777" w:rsidR="009E3B83" w:rsidRPr="009E3B83" w:rsidRDefault="009E3B83" w:rsidP="009E3B83">
      <w:pPr>
        <w:pStyle w:val="ListParagraph"/>
        <w:numPr>
          <w:ilvl w:val="0"/>
          <w:numId w:val="5"/>
        </w:numPr>
        <w:rPr>
          <w:rFonts w:ascii="Arial" w:hAnsi="Arial" w:cs="Arial"/>
          <w:sz w:val="24"/>
          <w:szCs w:val="24"/>
        </w:rPr>
      </w:pPr>
      <w:r w:rsidRPr="009E3B83">
        <w:rPr>
          <w:rFonts w:ascii="Arial" w:hAnsi="Arial" w:cs="Arial"/>
          <w:sz w:val="24"/>
          <w:szCs w:val="24"/>
        </w:rPr>
        <w:t>the inclusion of the six “non-index stations” in calculating CPUE of each index survey,</w:t>
      </w:r>
    </w:p>
    <w:p w14:paraId="52144F22" w14:textId="77777777" w:rsidR="009E3B83" w:rsidRPr="009E3B83" w:rsidRDefault="009E3B83" w:rsidP="009E3B83">
      <w:pPr>
        <w:pStyle w:val="ListParagraph"/>
        <w:numPr>
          <w:ilvl w:val="0"/>
          <w:numId w:val="5"/>
        </w:numPr>
        <w:rPr>
          <w:rFonts w:ascii="Arial" w:hAnsi="Arial" w:cs="Arial"/>
          <w:sz w:val="24"/>
          <w:szCs w:val="24"/>
        </w:rPr>
      </w:pPr>
      <w:r w:rsidRPr="009E3B83">
        <w:rPr>
          <w:rFonts w:ascii="Arial" w:hAnsi="Arial" w:cs="Arial"/>
          <w:sz w:val="24"/>
          <w:szCs w:val="24"/>
        </w:rPr>
        <w:t xml:space="preserve">the use of a dynamic fork length threshold to better describe post-larval and juvenile (young of the year, YOY) Delta Smelt, </w:t>
      </w:r>
    </w:p>
    <w:p w14:paraId="5A81A00F" w14:textId="6BEEDB18" w:rsidR="00BF3A34" w:rsidRDefault="009E3B83" w:rsidP="00BF3A34">
      <w:pPr>
        <w:pStyle w:val="ListParagraph"/>
        <w:numPr>
          <w:ilvl w:val="0"/>
          <w:numId w:val="5"/>
        </w:numPr>
        <w:rPr>
          <w:rFonts w:ascii="Arial" w:hAnsi="Arial" w:cs="Arial"/>
          <w:sz w:val="24"/>
          <w:szCs w:val="24"/>
        </w:rPr>
      </w:pPr>
      <w:r w:rsidRPr="009E3B83">
        <w:rPr>
          <w:rFonts w:ascii="Arial" w:hAnsi="Arial" w:cs="Arial"/>
          <w:sz w:val="24"/>
          <w:szCs w:val="24"/>
        </w:rPr>
        <w:t>the use of total number of Delta Smelt caught rather than the total number of Delta Smelt measured to calculate CPUE</w:t>
      </w:r>
      <w:r w:rsidR="009E501B">
        <w:rPr>
          <w:rFonts w:ascii="Arial" w:hAnsi="Arial" w:cs="Arial"/>
          <w:sz w:val="24"/>
          <w:szCs w:val="24"/>
        </w:rPr>
        <w:t>,</w:t>
      </w:r>
    </w:p>
    <w:p w14:paraId="641DF28C" w14:textId="68A989B5" w:rsidR="009E501B" w:rsidRDefault="009E501B" w:rsidP="00BF3A34">
      <w:pPr>
        <w:pStyle w:val="ListParagraph"/>
        <w:numPr>
          <w:ilvl w:val="0"/>
          <w:numId w:val="5"/>
        </w:numPr>
        <w:rPr>
          <w:rFonts w:ascii="Arial" w:hAnsi="Arial" w:cs="Arial"/>
          <w:sz w:val="24"/>
          <w:szCs w:val="24"/>
        </w:rPr>
      </w:pPr>
      <w:r>
        <w:rPr>
          <w:rFonts w:ascii="Arial" w:hAnsi="Arial" w:cs="Arial"/>
          <w:sz w:val="24"/>
          <w:szCs w:val="24"/>
        </w:rPr>
        <w:t xml:space="preserve">and the </w:t>
      </w:r>
      <w:r w:rsidR="00DC7CBC">
        <w:rPr>
          <w:rFonts w:ascii="Arial" w:hAnsi="Arial" w:cs="Arial"/>
          <w:sz w:val="24"/>
          <w:szCs w:val="24"/>
        </w:rPr>
        <w:t>refinement</w:t>
      </w:r>
      <w:r>
        <w:rPr>
          <w:rFonts w:ascii="Arial" w:hAnsi="Arial" w:cs="Arial"/>
          <w:sz w:val="24"/>
          <w:szCs w:val="24"/>
        </w:rPr>
        <w:t xml:space="preserve"> of a </w:t>
      </w:r>
      <w:r w:rsidR="009F7B0B">
        <w:rPr>
          <w:rFonts w:ascii="Arial" w:hAnsi="Arial" w:cs="Arial"/>
          <w:sz w:val="24"/>
          <w:szCs w:val="24"/>
        </w:rPr>
        <w:t>zero</w:t>
      </w:r>
      <w:r>
        <w:rPr>
          <w:rFonts w:ascii="Arial" w:hAnsi="Arial" w:cs="Arial"/>
          <w:sz w:val="24"/>
          <w:szCs w:val="24"/>
        </w:rPr>
        <w:t xml:space="preserve"> </w:t>
      </w:r>
      <w:r w:rsidR="009F7B0B">
        <w:rPr>
          <w:rFonts w:ascii="Arial" w:hAnsi="Arial" w:cs="Arial"/>
          <w:sz w:val="24"/>
          <w:szCs w:val="24"/>
        </w:rPr>
        <w:t>index</w:t>
      </w:r>
      <w:r>
        <w:rPr>
          <w:rFonts w:ascii="Arial" w:hAnsi="Arial" w:cs="Arial"/>
          <w:sz w:val="24"/>
          <w:szCs w:val="24"/>
        </w:rPr>
        <w:t xml:space="preserve"> calculation.</w:t>
      </w:r>
    </w:p>
    <w:p w14:paraId="5ACC5D86" w14:textId="4274BBD6" w:rsidR="00BF3A34" w:rsidRPr="00BF3A34" w:rsidRDefault="00BF3A34" w:rsidP="00BF3A34">
      <w:pPr>
        <w:rPr>
          <w:u w:val="single"/>
        </w:rPr>
      </w:pPr>
      <w:r>
        <w:rPr>
          <w:u w:val="single"/>
        </w:rPr>
        <w:t>Inclusion of the six “non-index stations”</w:t>
      </w:r>
    </w:p>
    <w:p w14:paraId="6E0C5D10" w14:textId="713DEA23" w:rsidR="009E3B83" w:rsidRDefault="009E3B83" w:rsidP="009E3B83">
      <w:r>
        <w:t xml:space="preserve">The six “non-index stations” </w:t>
      </w:r>
      <w:r w:rsidR="00FD2885">
        <w:t xml:space="preserve">in the North Delta </w:t>
      </w:r>
      <w:r>
        <w:t xml:space="preserve">were previously disregarded from the </w:t>
      </w:r>
      <w:r w:rsidR="009F7B0B">
        <w:t>index</w:t>
      </w:r>
      <w:r>
        <w:t xml:space="preserve"> calculations to maintain the continuity of the </w:t>
      </w:r>
      <w:r w:rsidR="009F7B0B">
        <w:t>index</w:t>
      </w:r>
      <w:r>
        <w:t xml:space="preserve"> to the inception of the survey. The survey began in 1995 and these additional North Delta stations were added only in 2008. These stations are now being incorporated </w:t>
      </w:r>
      <w:r w:rsidRPr="001B1D27">
        <w:t xml:space="preserve">because sufficient years of data have been collected to </w:t>
      </w:r>
      <w:r>
        <w:t xml:space="preserve">determine that the inclusion of these stations does not change the overall status and trends of the </w:t>
      </w:r>
      <w:r w:rsidR="009F7B0B">
        <w:t>index</w:t>
      </w:r>
      <w:r>
        <w:t xml:space="preserve"> (Figure 2). The inclusion of these six additional stations will more accurately describe the status and trends of the Delta Smelt population across the</w:t>
      </w:r>
      <w:r w:rsidR="00497933">
        <w:t>ir</w:t>
      </w:r>
      <w:r>
        <w:t xml:space="preserve"> historical range. This inclusion will also add consistency to the formulations, as these six stations </w:t>
      </w:r>
      <w:r w:rsidR="00497933">
        <w:t xml:space="preserve">are included when determining the </w:t>
      </w:r>
      <w:r>
        <w:t>mean fork length of the sample population</w:t>
      </w:r>
      <w:r w:rsidR="00497933">
        <w:t xml:space="preserve"> (for the purposes of determining which </w:t>
      </w:r>
      <w:r w:rsidR="003D2F13">
        <w:t>surveys</w:t>
      </w:r>
      <w:r w:rsidR="00497933">
        <w:t xml:space="preserve"> will contribute to the index)</w:t>
      </w:r>
      <w:r>
        <w:t>.</w:t>
      </w:r>
    </w:p>
    <w:p w14:paraId="2084281B" w14:textId="77777777" w:rsidR="009E3B83" w:rsidRDefault="009E3B83" w:rsidP="009E3B83">
      <w:pPr>
        <w:keepNext/>
      </w:pPr>
      <w:r>
        <w:rPr>
          <w:noProof/>
        </w:rPr>
        <w:lastRenderedPageBreak/>
        <w:drawing>
          <wp:inline distT="0" distB="0" distL="0" distR="0" wp14:anchorId="7E34582C" wp14:editId="7B34322C">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3962400"/>
                    </a:xfrm>
                    <a:prstGeom prst="rect">
                      <a:avLst/>
                    </a:prstGeom>
                    <a:noFill/>
                    <a:ln>
                      <a:noFill/>
                    </a:ln>
                  </pic:spPr>
                </pic:pic>
              </a:graphicData>
            </a:graphic>
          </wp:inline>
        </w:drawing>
      </w:r>
    </w:p>
    <w:p w14:paraId="09034664" w14:textId="245D885E" w:rsidR="009E3B83" w:rsidRPr="009E3B83" w:rsidRDefault="009E3B83" w:rsidP="009E3B83">
      <w:pPr>
        <w:pStyle w:val="Caption"/>
        <w:rPr>
          <w:rFonts w:ascii="Arial" w:hAnsi="Arial" w:cs="Arial"/>
          <w:sz w:val="24"/>
          <w:szCs w:val="24"/>
        </w:rPr>
      </w:pPr>
      <w:r w:rsidRPr="009E3B83">
        <w:rPr>
          <w:rFonts w:ascii="Arial" w:hAnsi="Arial" w:cs="Arial"/>
          <w:sz w:val="24"/>
          <w:szCs w:val="24"/>
        </w:rPr>
        <w:t xml:space="preserve">Figure </w:t>
      </w:r>
      <w:r w:rsidRPr="009E3B83">
        <w:rPr>
          <w:rFonts w:ascii="Arial" w:hAnsi="Arial" w:cs="Arial"/>
          <w:sz w:val="24"/>
          <w:szCs w:val="24"/>
        </w:rPr>
        <w:fldChar w:fldCharType="begin"/>
      </w:r>
      <w:r w:rsidRPr="009E3B83">
        <w:rPr>
          <w:rFonts w:ascii="Arial" w:hAnsi="Arial" w:cs="Arial"/>
          <w:sz w:val="24"/>
          <w:szCs w:val="24"/>
        </w:rPr>
        <w:instrText xml:space="preserve"> SEQ Figure \* ARABIC </w:instrText>
      </w:r>
      <w:r w:rsidRPr="009E3B83">
        <w:rPr>
          <w:rFonts w:ascii="Arial" w:hAnsi="Arial" w:cs="Arial"/>
          <w:sz w:val="24"/>
          <w:szCs w:val="24"/>
        </w:rPr>
        <w:fldChar w:fldCharType="separate"/>
      </w:r>
      <w:r w:rsidRPr="009E3B83">
        <w:rPr>
          <w:rFonts w:ascii="Arial" w:hAnsi="Arial" w:cs="Arial"/>
          <w:noProof/>
          <w:sz w:val="24"/>
          <w:szCs w:val="24"/>
        </w:rPr>
        <w:t>2</w:t>
      </w:r>
      <w:r w:rsidRPr="009E3B83">
        <w:rPr>
          <w:rFonts w:ascii="Arial" w:hAnsi="Arial" w:cs="Arial"/>
          <w:noProof/>
          <w:sz w:val="24"/>
          <w:szCs w:val="24"/>
        </w:rPr>
        <w:fldChar w:fldCharType="end"/>
      </w:r>
      <w:r w:rsidRPr="009E3B83">
        <w:rPr>
          <w:rFonts w:ascii="Arial" w:hAnsi="Arial" w:cs="Arial"/>
          <w:sz w:val="24"/>
          <w:szCs w:val="24"/>
        </w:rPr>
        <w:t xml:space="preserve">. The 20-mm Survey </w:t>
      </w:r>
      <w:r w:rsidR="009F7B0B">
        <w:rPr>
          <w:rFonts w:ascii="Arial" w:hAnsi="Arial" w:cs="Arial"/>
          <w:sz w:val="24"/>
          <w:szCs w:val="24"/>
        </w:rPr>
        <w:t>index</w:t>
      </w:r>
      <w:r w:rsidRPr="009E3B83">
        <w:rPr>
          <w:rFonts w:ascii="Arial" w:hAnsi="Arial" w:cs="Arial"/>
          <w:sz w:val="24"/>
          <w:szCs w:val="24"/>
        </w:rPr>
        <w:t xml:space="preserve"> per year since the inception of the survey in 1995. The historically provided values is compared to the </w:t>
      </w:r>
      <w:r w:rsidR="009F7B0B">
        <w:rPr>
          <w:rFonts w:ascii="Arial" w:hAnsi="Arial" w:cs="Arial"/>
          <w:sz w:val="24"/>
          <w:szCs w:val="24"/>
        </w:rPr>
        <w:t>index</w:t>
      </w:r>
      <w:r w:rsidRPr="009E3B83">
        <w:rPr>
          <w:rFonts w:ascii="Arial" w:hAnsi="Arial" w:cs="Arial"/>
          <w:sz w:val="24"/>
          <w:szCs w:val="24"/>
        </w:rPr>
        <w:t xml:space="preserve"> values computed using the updated methods detailed in this document.</w:t>
      </w:r>
    </w:p>
    <w:p w14:paraId="0673D326" w14:textId="66E8E04B" w:rsidR="00BF3A34" w:rsidRPr="00BF3A34" w:rsidRDefault="00BF3A34" w:rsidP="009E3B83">
      <w:pPr>
        <w:rPr>
          <w:u w:val="single"/>
        </w:rPr>
      </w:pPr>
      <w:r w:rsidRPr="00BF3A34">
        <w:rPr>
          <w:u w:val="single"/>
        </w:rPr>
        <w:t>“Dynamic YOY fork length threshold”</w:t>
      </w:r>
    </w:p>
    <w:p w14:paraId="5DB00EBE" w14:textId="3B6416E1" w:rsidR="009E3B83" w:rsidRDefault="009E3B83" w:rsidP="009E3B83">
      <w:r>
        <w:t xml:space="preserve">Historically, the 20-mm Survey primarily captures YOY Delta Smelt given the timing of the survey and sampling gear design, but adults are sometimes captured as well. Since the Delta Smelt </w:t>
      </w:r>
      <w:r w:rsidR="009F7B0B">
        <w:t>index</w:t>
      </w:r>
      <w:r>
        <w:t xml:space="preserve"> is an indicator of production, adults are filtered out prior to calculating the index. Previously, this was done by applying a </w:t>
      </w:r>
      <w:r w:rsidR="004E7E29">
        <w:t xml:space="preserve">fork </w:t>
      </w:r>
      <w:r>
        <w:t>length cutoff of 60 mm across all months. However, in one case survey leads manually filtered an adult fish that was captured earlier in the year, even though it was below the length threshold. In March 1998 (Survey 1), an individual measuring 59 mm fork length was manually removed from the index calculation, since</w:t>
      </w:r>
      <w:r w:rsidRPr="00734B57">
        <w:t xml:space="preserve"> </w:t>
      </w:r>
      <w:r>
        <w:t xml:space="preserve">Delta Smelt life history indicates this fish was a spawning adult and inclusion of this individual would have meant that the mean length of the Delta Smelt population exceeded 20 mm twice. To better filter adults from YOY, a more dynamic threshold has been applied based on length-at-date plots of fish caught </w:t>
      </w:r>
      <w:r>
        <w:lastRenderedPageBreak/>
        <w:t>on the 20-mm Survey for the entire period of record</w:t>
      </w:r>
      <w:r w:rsidR="00941525">
        <w:rPr>
          <w:rStyle w:val="FootnoteReference"/>
        </w:rPr>
        <w:footnoteReference w:id="2"/>
      </w:r>
      <w:r>
        <w:t xml:space="preserve">. The survey now has an adult Delta Smelt threshold of </w:t>
      </w:r>
      <w:r w:rsidR="00BF3A34">
        <w:t xml:space="preserve">&gt; </w:t>
      </w:r>
      <w:r>
        <w:t xml:space="preserve">50 mm fork length from March to May, and </w:t>
      </w:r>
      <w:r w:rsidR="00BF3A34">
        <w:t xml:space="preserve">&gt; </w:t>
      </w:r>
      <w:r>
        <w:t>60 mm fork length in June and July. This dynamic threshold will be continuously revisited as additional data is collected and more fish are caught.</w:t>
      </w:r>
    </w:p>
    <w:p w14:paraId="67A76DD6" w14:textId="78681A12" w:rsidR="0061345E" w:rsidRDefault="0061345E" w:rsidP="009E3B83">
      <w:r w:rsidRPr="0061345E">
        <w:rPr>
          <w:u w:val="single"/>
        </w:rPr>
        <w:t>“Using total number of fish caught</w:t>
      </w:r>
      <w:r>
        <w:rPr>
          <w:u w:val="single"/>
        </w:rPr>
        <w:t xml:space="preserve"> to calculate CPUE</w:t>
      </w:r>
      <w:r w:rsidRPr="0061345E">
        <w:rPr>
          <w:u w:val="single"/>
        </w:rPr>
        <w:t>”</w:t>
      </w:r>
    </w:p>
    <w:p w14:paraId="63C5C7DE" w14:textId="49F13E9F" w:rsidR="009E3B83" w:rsidRDefault="009E3B83" w:rsidP="009E3B83">
      <w:r>
        <w:t xml:space="preserve">Delta Smelt catch is standardized to CPUE before calculating the </w:t>
      </w:r>
      <w:r w:rsidR="009F7B0B">
        <w:t>index</w:t>
      </w:r>
      <w:r>
        <w:t xml:space="preserve"> value. In the Access database query, the number of fish measured is used for this calculation. Since the 20-mm Survey was designed specifically to inform Delta Smelt abundance and distribution, all individuals must be measured. Subsampling should not occur. Unfortunately, subsampling has occurred in two rare instances, station 340 in Survey 5 of 2006 and station 343 in Survey 6 of 2006 where only 50 Delta Smelt out of 55 and 67 fish, respectively, were measured</w:t>
      </w:r>
      <w:r w:rsidR="00263ED3">
        <w:t>. This resulted in an error in the index calculation</w:t>
      </w:r>
      <w:r>
        <w:t>.</w:t>
      </w:r>
      <w:r w:rsidR="00263ED3">
        <w:t xml:space="preserve"> To prevent this error in the future, </w:t>
      </w:r>
      <w:bookmarkStart w:id="0" w:name="_Hlk106186631"/>
      <w:r>
        <w:t xml:space="preserve">the number of fish caught, instead of the number of fish measured, will be used to calculate CPUE. </w:t>
      </w:r>
      <w:r w:rsidR="00263ED3">
        <w:t xml:space="preserve">In the rare event of subsampling, </w:t>
      </w:r>
      <w:r w:rsidR="00A56A01">
        <w:t>t</w:t>
      </w:r>
      <w:r>
        <w:t xml:space="preserve">he length frequency distribution of the measured fish will be </w:t>
      </w:r>
      <w:r w:rsidR="0061345E">
        <w:t>expanded</w:t>
      </w:r>
      <w:r>
        <w:t xml:space="preserve"> to account for possible adult fish caught in the non-measured fish.</w:t>
      </w:r>
      <w:bookmarkEnd w:id="0"/>
      <w:r>
        <w:t xml:space="preserve"> A check will be added to the end of the year database quality control process to identify instances when the number of Delta Smelt measured does not equal the number of individuals caught; this check will help identify these rare occurrences and allow for immediate action for the affected samples.</w:t>
      </w:r>
    </w:p>
    <w:p w14:paraId="04231EA1" w14:textId="189858AA" w:rsidR="009E501B" w:rsidRDefault="009E501B" w:rsidP="009E3B83">
      <w:pPr>
        <w:rPr>
          <w:u w:val="single"/>
        </w:rPr>
      </w:pPr>
      <w:r>
        <w:rPr>
          <w:u w:val="single"/>
        </w:rPr>
        <w:t>“</w:t>
      </w:r>
      <w:r w:rsidR="00100B77">
        <w:rPr>
          <w:u w:val="single"/>
        </w:rPr>
        <w:t>I</w:t>
      </w:r>
      <w:r w:rsidR="00A8173E">
        <w:rPr>
          <w:u w:val="single"/>
        </w:rPr>
        <w:t xml:space="preserve">ncalculable </w:t>
      </w:r>
      <w:r w:rsidR="00163E63">
        <w:rPr>
          <w:u w:val="single"/>
        </w:rPr>
        <w:t xml:space="preserve">and </w:t>
      </w:r>
      <w:r w:rsidR="00941525">
        <w:rPr>
          <w:u w:val="single"/>
        </w:rPr>
        <w:t>z</w:t>
      </w:r>
      <w:r w:rsidR="00556E0A">
        <w:rPr>
          <w:u w:val="single"/>
        </w:rPr>
        <w:t>ero</w:t>
      </w:r>
      <w:r w:rsidR="00163E63">
        <w:rPr>
          <w:u w:val="single"/>
        </w:rPr>
        <w:t xml:space="preserve"> </w:t>
      </w:r>
      <w:r w:rsidR="00A8173E">
        <w:rPr>
          <w:u w:val="single"/>
        </w:rPr>
        <w:t>index</w:t>
      </w:r>
      <w:r>
        <w:rPr>
          <w:u w:val="single"/>
        </w:rPr>
        <w:t>”</w:t>
      </w:r>
    </w:p>
    <w:p w14:paraId="244AE724" w14:textId="5884FC5A" w:rsidR="003F5577" w:rsidRDefault="00100B77" w:rsidP="009E3B83">
      <w:r>
        <w:t>In the entire period of record for the 20-mm Survey</w:t>
      </w:r>
      <w:r w:rsidR="007E6086">
        <w:t xml:space="preserve">, </w:t>
      </w:r>
      <w:r w:rsidR="00A8173E">
        <w:t xml:space="preserve">there have been </w:t>
      </w:r>
      <w:r w:rsidR="004E7E29">
        <w:t>two</w:t>
      </w:r>
      <w:r w:rsidR="00A8173E">
        <w:t xml:space="preserve"> instances </w:t>
      </w:r>
      <w:r>
        <w:t xml:space="preserve">when </w:t>
      </w:r>
      <w:r w:rsidR="00A8173E">
        <w:t xml:space="preserve">the Delta Smelt index is not calculable. This occurs </w:t>
      </w:r>
      <w:r w:rsidR="00A71124">
        <w:t xml:space="preserve">when it is not possible to determine when mean Delta Smelt fork length reached 20 mm, </w:t>
      </w:r>
      <w:r w:rsidR="00A8173E">
        <w:t>either because cat</w:t>
      </w:r>
      <w:r w:rsidR="00A71124">
        <w:t>ch is intermittent throughout the season</w:t>
      </w:r>
      <w:r w:rsidR="00A8173E">
        <w:t xml:space="preserve"> or </w:t>
      </w:r>
      <w:r w:rsidR="00A71124">
        <w:t>not enough sampling occurred</w:t>
      </w:r>
      <w:r w:rsidR="00A8173E">
        <w:t xml:space="preserve">. </w:t>
      </w:r>
      <w:r w:rsidR="005654C3">
        <w:t xml:space="preserve">Since the 20-mm gear is most efficient for Delta Smelt around 20 mm in length, the index is calculated using only </w:t>
      </w:r>
      <w:r w:rsidR="00A8173E">
        <w:t xml:space="preserve">the </w:t>
      </w:r>
      <w:r w:rsidR="004E7E29">
        <w:t>four</w:t>
      </w:r>
      <w:r w:rsidR="00A8173E">
        <w:t xml:space="preserve"> surveys around which the average length of Delta Smelt is 20 mm</w:t>
      </w:r>
      <w:r w:rsidR="005654C3">
        <w:t xml:space="preserve">. Our ability to calculate an index is therefore </w:t>
      </w:r>
      <w:r w:rsidR="002842DA">
        <w:t>dependent on determining when the average size of the Delta Smelt population is 20 mm. If there is inadequate catch throughout the 20-mm Survey season to determine when Delta Smelt averaged 20 mm, then an index is not calculable.</w:t>
      </w:r>
      <w:r w:rsidR="004E7E29">
        <w:t xml:space="preserve"> </w:t>
      </w:r>
      <w:r>
        <w:t>This was the case in 2018</w:t>
      </w:r>
      <w:r w:rsidR="00A71124">
        <w:t xml:space="preserve"> when catch only occurred in surveys 1-3 and survey 9. Having a gap in the length data presented a barrier to determining when the average size reached 20 mm</w:t>
      </w:r>
      <w:r w:rsidR="003F5577">
        <w:t>, and thus we could not determine which surveys to use to calculate in the index</w:t>
      </w:r>
      <w:r w:rsidR="00556E0A">
        <w:t xml:space="preserve">.  </w:t>
      </w:r>
      <w:r w:rsidR="00A8173E">
        <w:t>In 2020, sampling was put on hold and then reduced to minimum capacity due to COVID-19</w:t>
      </w:r>
      <w:r w:rsidR="003F5577">
        <w:t>, making the index also incalculable for that year</w:t>
      </w:r>
      <w:r w:rsidR="00556E0A">
        <w:rPr>
          <w:rStyle w:val="FootnoteReference"/>
        </w:rPr>
        <w:footnoteReference w:id="3"/>
      </w:r>
      <w:r w:rsidR="00A8173E">
        <w:t>.</w:t>
      </w:r>
      <w:r>
        <w:t xml:space="preserve">  </w:t>
      </w:r>
      <w:r w:rsidR="00A8173E">
        <w:t xml:space="preserve">  </w:t>
      </w:r>
    </w:p>
    <w:p w14:paraId="569168F8" w14:textId="1AE76CC7" w:rsidR="009E501B" w:rsidRPr="0088538A" w:rsidRDefault="003F5577" w:rsidP="009E3B83">
      <w:r>
        <w:lastRenderedPageBreak/>
        <w:t xml:space="preserve">In contrast, 2021 was the first year the 20-mm Survey had a zero index. In 2021, catch was low throughout the 20-mm Survey season, and thus regardless of which surveys were used to calculate the index, the index was zero. </w:t>
      </w:r>
      <w:r w:rsidR="00D53C70">
        <w:t>Since the</w:t>
      </w:r>
      <w:r w:rsidR="002D3F50">
        <w:t xml:space="preserve"> YOY Delta Smelt</w:t>
      </w:r>
      <w:r w:rsidR="00D53C70">
        <w:t xml:space="preserve"> population has been in decline for many years and catches </w:t>
      </w:r>
      <w:r w:rsidR="00092B53">
        <w:t>are</w:t>
      </w:r>
      <w:r w:rsidR="002D3F50">
        <w:t xml:space="preserve"> </w:t>
      </w:r>
      <w:r w:rsidR="00D53C70">
        <w:t xml:space="preserve">likely to remain low (Figure 1), </w:t>
      </w:r>
      <w:r>
        <w:t>setting specific criteria about a zero index versus an incalculable index is appropriate</w:t>
      </w:r>
      <w:r w:rsidR="00D86750">
        <w:t>. Going forward, a</w:t>
      </w:r>
      <w:r w:rsidR="00E10EC5">
        <w:t xml:space="preserve">n incalculable </w:t>
      </w:r>
      <w:r>
        <w:t>i</w:t>
      </w:r>
      <w:r w:rsidR="00D86750">
        <w:t xml:space="preserve">ndex will be produced </w:t>
      </w:r>
      <w:r w:rsidR="00E10EC5">
        <w:t>when the 4 surveys contributing to the index is indeterminate (cannot detect when average length reaches 20 mm), and it is uncertain if the index should be zero.</w:t>
      </w:r>
      <w:r w:rsidR="00131C88">
        <w:t xml:space="preserve"> A zero index will be produced when 1) all surveys</w:t>
      </w:r>
      <w:r w:rsidR="00163E63">
        <w:t>, sampled without any reduction in effort,</w:t>
      </w:r>
      <w:r w:rsidR="00131C88">
        <w:t xml:space="preserve"> have zero catch</w:t>
      </w:r>
      <w:r w:rsidR="00163E63">
        <w:t xml:space="preserve">, and </w:t>
      </w:r>
      <w:r w:rsidR="00131C88">
        <w:t xml:space="preserve">2) the index is zero due to rounding and there is sufficient information to determine </w:t>
      </w:r>
      <w:r w:rsidR="00A81C8F">
        <w:t>which</w:t>
      </w:r>
      <w:r w:rsidR="00131C88">
        <w:t xml:space="preserve"> surveys </w:t>
      </w:r>
      <w:r w:rsidR="00A81C8F">
        <w:t>are</w:t>
      </w:r>
      <w:r w:rsidR="00131C88">
        <w:t xml:space="preserve"> use</w:t>
      </w:r>
      <w:r w:rsidR="00A81C8F">
        <w:t>d</w:t>
      </w:r>
      <w:r w:rsidR="00131C88">
        <w:t xml:space="preserve"> to calculate the index.</w:t>
      </w:r>
      <w:r w:rsidR="00D86750">
        <w:t xml:space="preserve"> </w:t>
      </w:r>
      <w:r w:rsidR="002D3F50">
        <w:t>A</w:t>
      </w:r>
      <w:r w:rsidR="00D86750">
        <w:t xml:space="preserve"> </w:t>
      </w:r>
      <w:r w:rsidR="00E10EC5">
        <w:t>zero</w:t>
      </w:r>
      <w:r w:rsidR="00D86750">
        <w:t xml:space="preserve"> </w:t>
      </w:r>
      <w:r w:rsidR="009F7B0B">
        <w:t>index</w:t>
      </w:r>
      <w:r w:rsidR="00D86750">
        <w:t xml:space="preserve"> is an appropriate description of the low abundance of the population</w:t>
      </w:r>
      <w:r w:rsidR="002D3F50">
        <w:t xml:space="preserve"> if individuals are too rare to be commonly caught</w:t>
      </w:r>
      <w:r w:rsidR="00155510">
        <w:t xml:space="preserve">—a </w:t>
      </w:r>
      <w:r w:rsidR="00A81C8F">
        <w:t>z</w:t>
      </w:r>
      <w:r w:rsidR="00092B53">
        <w:t>ero</w:t>
      </w:r>
      <w:r w:rsidR="00155510">
        <w:t xml:space="preserve"> </w:t>
      </w:r>
      <w:r w:rsidR="009F7B0B">
        <w:t>index</w:t>
      </w:r>
      <w:r w:rsidR="00155510">
        <w:t xml:space="preserve"> does not, however, indicate an absolute abundance of </w:t>
      </w:r>
      <w:r w:rsidR="00092B53">
        <w:t>zero</w:t>
      </w:r>
      <w:r w:rsidR="00155510">
        <w:t xml:space="preserve"> for the species. </w:t>
      </w:r>
      <w:r w:rsidR="00234070">
        <w:t>Additional refinements will be continuously revisited as additional data is collected.</w:t>
      </w:r>
    </w:p>
    <w:p w14:paraId="27044C86" w14:textId="2D27DDCF" w:rsidR="009E3B83" w:rsidRPr="009E3B83" w:rsidRDefault="009E3B83" w:rsidP="009E3B83">
      <w:pPr>
        <w:rPr>
          <w:b/>
          <w:bCs/>
        </w:rPr>
      </w:pPr>
      <w:r>
        <w:rPr>
          <w:b/>
          <w:bCs/>
        </w:rPr>
        <w:t>Benefits of changes</w:t>
      </w:r>
    </w:p>
    <w:p w14:paraId="0A0876E6" w14:textId="4F72DACE" w:rsidR="00ED4599" w:rsidRDefault="009E3B83" w:rsidP="009E3B83">
      <w:r>
        <w:t xml:space="preserve">The 20-mm Survey Delta Smelt </w:t>
      </w:r>
      <w:r w:rsidR="009F7B0B">
        <w:t>index</w:t>
      </w:r>
      <w:r>
        <w:t xml:space="preserve"> from 2022 onward will incorporate these </w:t>
      </w:r>
      <w:r w:rsidR="00155510">
        <w:t>four</w:t>
      </w:r>
      <w:r>
        <w:t xml:space="preserve"> discussed changes. These modifications will together 1) better describe catch of Delta Smelt throughout their historical range, 2) better describe YOY individuals</w:t>
      </w:r>
      <w:r w:rsidR="00234070">
        <w:t xml:space="preserve">, </w:t>
      </w:r>
      <w:r>
        <w:t>3) be more robust to rare instances of subsampling</w:t>
      </w:r>
      <w:r w:rsidR="00234070">
        <w:t xml:space="preserve">, and 4) </w:t>
      </w:r>
      <w:r w:rsidR="00155510">
        <w:t>be more consistent in def</w:t>
      </w:r>
      <w:r w:rsidR="00F8690A">
        <w:t>ining conditions of a</w:t>
      </w:r>
      <w:r w:rsidR="00A81C8F">
        <w:t>n incalculable or a</w:t>
      </w:r>
      <w:r w:rsidR="00F8690A">
        <w:t xml:space="preserve"> </w:t>
      </w:r>
      <w:r w:rsidR="009F7B0B">
        <w:t>zero index</w:t>
      </w:r>
      <w:r w:rsidR="00F8690A">
        <w:t xml:space="preserve"> value</w:t>
      </w:r>
      <w:r>
        <w:t>. The incorporation of these changes does not meaningfully change the status and trends of the Delta Smelt population</w:t>
      </w:r>
      <w:r w:rsidR="00A81C8F">
        <w:t xml:space="preserve"> </w:t>
      </w:r>
      <w:r>
        <w:t xml:space="preserve">(Table </w:t>
      </w:r>
      <w:r w:rsidR="003D2F13">
        <w:t>1</w:t>
      </w:r>
      <w:r>
        <w:t>).</w:t>
      </w:r>
    </w:p>
    <w:p w14:paraId="3498CEE8" w14:textId="5B110F6D" w:rsidR="000F3658" w:rsidRPr="000F3658" w:rsidRDefault="000F3658" w:rsidP="000F3658">
      <w:pPr>
        <w:pStyle w:val="Caption"/>
        <w:keepNext/>
        <w:rPr>
          <w:rFonts w:ascii="Arial" w:hAnsi="Arial" w:cs="Arial"/>
          <w:sz w:val="24"/>
          <w:szCs w:val="24"/>
        </w:rPr>
      </w:pPr>
      <w:r w:rsidRPr="000F3658">
        <w:rPr>
          <w:rFonts w:ascii="Arial" w:hAnsi="Arial" w:cs="Arial"/>
          <w:sz w:val="24"/>
          <w:szCs w:val="24"/>
        </w:rPr>
        <w:t xml:space="preserve">Table </w:t>
      </w:r>
      <w:r w:rsidR="003D2F13">
        <w:rPr>
          <w:rFonts w:ascii="Arial" w:hAnsi="Arial" w:cs="Arial"/>
          <w:sz w:val="24"/>
          <w:szCs w:val="24"/>
        </w:rPr>
        <w:t>1</w:t>
      </w:r>
      <w:r w:rsidRPr="000F3658">
        <w:rPr>
          <w:rFonts w:ascii="Arial" w:hAnsi="Arial" w:cs="Arial"/>
          <w:sz w:val="24"/>
          <w:szCs w:val="24"/>
        </w:rPr>
        <w:t xml:space="preserve">. The 20-mm </w:t>
      </w:r>
      <w:r w:rsidR="009F7B0B">
        <w:rPr>
          <w:rFonts w:ascii="Arial" w:hAnsi="Arial" w:cs="Arial"/>
          <w:sz w:val="24"/>
          <w:szCs w:val="24"/>
        </w:rPr>
        <w:t>index</w:t>
      </w:r>
      <w:r w:rsidRPr="000F3658">
        <w:rPr>
          <w:rFonts w:ascii="Arial" w:hAnsi="Arial" w:cs="Arial"/>
          <w:sz w:val="24"/>
          <w:szCs w:val="24"/>
        </w:rPr>
        <w:t xml:space="preserve"> values as calculated using the new methods compared to the previously provided values. The difference in 2005 is due to the inclusion of 2 additional DS in tow 2 of station 415 sampled on 2005-05-27 after the publication of the historical </w:t>
      </w:r>
      <w:r w:rsidR="009F7B0B">
        <w:rPr>
          <w:rFonts w:ascii="Arial" w:hAnsi="Arial" w:cs="Arial"/>
          <w:sz w:val="24"/>
          <w:szCs w:val="24"/>
        </w:rPr>
        <w:t>index</w:t>
      </w:r>
      <w:r w:rsidRPr="000F3658">
        <w:rPr>
          <w:rFonts w:ascii="Arial" w:hAnsi="Arial" w:cs="Arial"/>
          <w:sz w:val="24"/>
          <w:szCs w:val="24"/>
        </w:rPr>
        <w:t>, the difference in 2006 is due to subsampling instances for that year, and the difference from 2008 onwards is due to the inclusion of the six non-index stations.</w:t>
      </w:r>
    </w:p>
    <w:tbl>
      <w:tblPr>
        <w:tblW w:w="5000" w:type="pct"/>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1305"/>
        <w:gridCol w:w="1372"/>
        <w:gridCol w:w="3282"/>
        <w:gridCol w:w="3401"/>
      </w:tblGrid>
      <w:tr w:rsidR="000F3658" w:rsidRPr="000F3658" w14:paraId="7D2CBED8" w14:textId="77777777" w:rsidTr="000F3658">
        <w:trPr>
          <w:trHeight w:hRule="exact" w:val="504"/>
          <w:tblHeader/>
        </w:trPr>
        <w:tc>
          <w:tcPr>
            <w:tcW w:w="697" w:type="pct"/>
            <w:tcBorders>
              <w:bottom w:val="single" w:sz="12" w:space="0" w:color="auto"/>
            </w:tcBorders>
            <w:shd w:val="clear" w:color="auto" w:fill="auto"/>
            <w:tcMar>
              <w:top w:w="0" w:type="dxa"/>
              <w:left w:w="75" w:type="dxa"/>
              <w:bottom w:w="0" w:type="dxa"/>
              <w:right w:w="75" w:type="dxa"/>
            </w:tcMar>
            <w:vAlign w:val="center"/>
            <w:hideMark/>
          </w:tcPr>
          <w:p w14:paraId="25A2FCCB" w14:textId="77777777" w:rsidR="000F3658" w:rsidRPr="000F3658" w:rsidRDefault="000F3658" w:rsidP="000F3658">
            <w:pPr>
              <w:spacing w:before="150" w:after="150"/>
              <w:jc w:val="right"/>
              <w:rPr>
                <w:color w:val="222222"/>
              </w:rPr>
            </w:pPr>
            <w:r w:rsidRPr="000F3658">
              <w:rPr>
                <w:color w:val="222222"/>
              </w:rPr>
              <w:t>year</w:t>
            </w:r>
          </w:p>
        </w:tc>
        <w:tc>
          <w:tcPr>
            <w:tcW w:w="733" w:type="pct"/>
            <w:tcBorders>
              <w:bottom w:val="single" w:sz="12" w:space="0" w:color="auto"/>
            </w:tcBorders>
            <w:shd w:val="clear" w:color="auto" w:fill="auto"/>
            <w:tcMar>
              <w:top w:w="0" w:type="dxa"/>
              <w:left w:w="75" w:type="dxa"/>
              <w:bottom w:w="0" w:type="dxa"/>
              <w:right w:w="75" w:type="dxa"/>
            </w:tcMar>
            <w:vAlign w:val="center"/>
            <w:hideMark/>
          </w:tcPr>
          <w:p w14:paraId="78C8B256" w14:textId="77777777" w:rsidR="000F3658" w:rsidRPr="000F3658" w:rsidRDefault="000F3658" w:rsidP="000F3658">
            <w:pPr>
              <w:spacing w:before="150" w:after="150"/>
              <w:jc w:val="right"/>
              <w:rPr>
                <w:color w:val="222222"/>
              </w:rPr>
            </w:pPr>
            <w:r w:rsidRPr="000F3658">
              <w:rPr>
                <w:color w:val="222222"/>
              </w:rPr>
              <w:t>index</w:t>
            </w:r>
          </w:p>
        </w:tc>
        <w:tc>
          <w:tcPr>
            <w:tcW w:w="1753" w:type="pct"/>
            <w:tcBorders>
              <w:bottom w:val="single" w:sz="12" w:space="0" w:color="auto"/>
            </w:tcBorders>
            <w:shd w:val="clear" w:color="auto" w:fill="auto"/>
            <w:tcMar>
              <w:top w:w="0" w:type="dxa"/>
              <w:left w:w="75" w:type="dxa"/>
              <w:bottom w:w="0" w:type="dxa"/>
              <w:right w:w="75" w:type="dxa"/>
            </w:tcMar>
            <w:vAlign w:val="center"/>
            <w:hideMark/>
          </w:tcPr>
          <w:p w14:paraId="466E8F18" w14:textId="77777777" w:rsidR="000F3658" w:rsidRPr="000F3658" w:rsidRDefault="000F3658" w:rsidP="000F3658">
            <w:pPr>
              <w:spacing w:before="150" w:after="150"/>
              <w:jc w:val="right"/>
              <w:rPr>
                <w:color w:val="222222"/>
              </w:rPr>
            </w:pPr>
            <w:proofErr w:type="spellStart"/>
            <w:r w:rsidRPr="000F3658">
              <w:rPr>
                <w:color w:val="222222"/>
              </w:rPr>
              <w:t>indexHistorical</w:t>
            </w:r>
            <w:proofErr w:type="spellEnd"/>
          </w:p>
        </w:tc>
        <w:tc>
          <w:tcPr>
            <w:tcW w:w="1817" w:type="pct"/>
            <w:tcBorders>
              <w:bottom w:val="single" w:sz="12" w:space="0" w:color="auto"/>
            </w:tcBorders>
            <w:shd w:val="clear" w:color="auto" w:fill="auto"/>
            <w:tcMar>
              <w:top w:w="0" w:type="dxa"/>
              <w:left w:w="75" w:type="dxa"/>
              <w:bottom w:w="0" w:type="dxa"/>
              <w:right w:w="75" w:type="dxa"/>
            </w:tcMar>
            <w:vAlign w:val="center"/>
            <w:hideMark/>
          </w:tcPr>
          <w:p w14:paraId="1A745D51" w14:textId="77777777" w:rsidR="000F3658" w:rsidRPr="000F3658" w:rsidRDefault="000F3658" w:rsidP="000F3658">
            <w:pPr>
              <w:spacing w:before="150" w:after="150"/>
              <w:jc w:val="right"/>
              <w:rPr>
                <w:color w:val="222222"/>
              </w:rPr>
            </w:pPr>
            <w:proofErr w:type="spellStart"/>
            <w:r w:rsidRPr="000F3658">
              <w:rPr>
                <w:color w:val="222222"/>
              </w:rPr>
              <w:t>indexDifference</w:t>
            </w:r>
            <w:proofErr w:type="spellEnd"/>
          </w:p>
        </w:tc>
      </w:tr>
      <w:tr w:rsidR="000F3658" w:rsidRPr="000F3658" w14:paraId="2B61E26D" w14:textId="77777777" w:rsidTr="000F3658">
        <w:trPr>
          <w:trHeight w:hRule="exact" w:val="504"/>
        </w:trPr>
        <w:tc>
          <w:tcPr>
            <w:tcW w:w="697" w:type="pct"/>
            <w:shd w:val="clear" w:color="auto" w:fill="auto"/>
            <w:tcMar>
              <w:top w:w="0" w:type="dxa"/>
              <w:left w:w="75" w:type="dxa"/>
              <w:bottom w:w="0" w:type="dxa"/>
              <w:right w:w="75" w:type="dxa"/>
            </w:tcMar>
            <w:vAlign w:val="center"/>
            <w:hideMark/>
          </w:tcPr>
          <w:p w14:paraId="38A25D2E" w14:textId="77777777" w:rsidR="000F3658" w:rsidRPr="000F3658" w:rsidRDefault="000F3658" w:rsidP="000F3658">
            <w:pPr>
              <w:spacing w:before="150" w:after="150"/>
              <w:jc w:val="right"/>
              <w:rPr>
                <w:color w:val="222222"/>
              </w:rPr>
            </w:pPr>
            <w:r w:rsidRPr="000F3658">
              <w:rPr>
                <w:color w:val="222222"/>
              </w:rPr>
              <w:t>1995</w:t>
            </w:r>
          </w:p>
        </w:tc>
        <w:tc>
          <w:tcPr>
            <w:tcW w:w="733" w:type="pct"/>
            <w:shd w:val="clear" w:color="auto" w:fill="auto"/>
            <w:tcMar>
              <w:top w:w="0" w:type="dxa"/>
              <w:left w:w="75" w:type="dxa"/>
              <w:bottom w:w="0" w:type="dxa"/>
              <w:right w:w="75" w:type="dxa"/>
            </w:tcMar>
            <w:vAlign w:val="center"/>
            <w:hideMark/>
          </w:tcPr>
          <w:p w14:paraId="47DD792A" w14:textId="77777777" w:rsidR="000F3658" w:rsidRPr="000F3658" w:rsidRDefault="000F3658" w:rsidP="000F3658">
            <w:pPr>
              <w:spacing w:before="150" w:after="150"/>
              <w:jc w:val="right"/>
              <w:rPr>
                <w:color w:val="222222"/>
              </w:rPr>
            </w:pPr>
            <w:r w:rsidRPr="000F3658">
              <w:rPr>
                <w:color w:val="222222"/>
              </w:rPr>
              <w:t>4.4</w:t>
            </w:r>
          </w:p>
        </w:tc>
        <w:tc>
          <w:tcPr>
            <w:tcW w:w="1753" w:type="pct"/>
            <w:shd w:val="clear" w:color="auto" w:fill="auto"/>
            <w:tcMar>
              <w:top w:w="0" w:type="dxa"/>
              <w:left w:w="75" w:type="dxa"/>
              <w:bottom w:w="0" w:type="dxa"/>
              <w:right w:w="75" w:type="dxa"/>
            </w:tcMar>
            <w:vAlign w:val="center"/>
            <w:hideMark/>
          </w:tcPr>
          <w:p w14:paraId="167E16BA" w14:textId="77777777" w:rsidR="000F3658" w:rsidRPr="000F3658" w:rsidRDefault="000F3658" w:rsidP="000F3658">
            <w:pPr>
              <w:spacing w:before="150" w:after="150"/>
              <w:jc w:val="right"/>
              <w:rPr>
                <w:color w:val="222222"/>
              </w:rPr>
            </w:pPr>
            <w:r w:rsidRPr="000F3658">
              <w:rPr>
                <w:color w:val="222222"/>
              </w:rPr>
              <w:t>4.4</w:t>
            </w:r>
          </w:p>
        </w:tc>
        <w:tc>
          <w:tcPr>
            <w:tcW w:w="1817" w:type="pct"/>
            <w:shd w:val="clear" w:color="auto" w:fill="auto"/>
            <w:tcMar>
              <w:top w:w="0" w:type="dxa"/>
              <w:left w:w="75" w:type="dxa"/>
              <w:bottom w:w="0" w:type="dxa"/>
              <w:right w:w="75" w:type="dxa"/>
            </w:tcMar>
            <w:vAlign w:val="center"/>
            <w:hideMark/>
          </w:tcPr>
          <w:p w14:paraId="7E3AA892" w14:textId="77777777" w:rsidR="000F3658" w:rsidRPr="000F3658" w:rsidRDefault="000F3658" w:rsidP="000F3658">
            <w:pPr>
              <w:spacing w:before="150" w:after="150"/>
              <w:jc w:val="right"/>
              <w:rPr>
                <w:color w:val="222222"/>
              </w:rPr>
            </w:pPr>
            <w:r w:rsidRPr="000F3658">
              <w:rPr>
                <w:color w:val="222222"/>
              </w:rPr>
              <w:t>0.0</w:t>
            </w:r>
          </w:p>
        </w:tc>
      </w:tr>
      <w:tr w:rsidR="000F3658" w:rsidRPr="000F3658" w14:paraId="7814A2EA" w14:textId="77777777" w:rsidTr="000F3658">
        <w:trPr>
          <w:trHeight w:hRule="exact" w:val="504"/>
        </w:trPr>
        <w:tc>
          <w:tcPr>
            <w:tcW w:w="697" w:type="pct"/>
            <w:shd w:val="clear" w:color="auto" w:fill="F5F5F5"/>
            <w:tcMar>
              <w:top w:w="0" w:type="dxa"/>
              <w:left w:w="75" w:type="dxa"/>
              <w:bottom w:w="0" w:type="dxa"/>
              <w:right w:w="75" w:type="dxa"/>
            </w:tcMar>
            <w:vAlign w:val="center"/>
            <w:hideMark/>
          </w:tcPr>
          <w:p w14:paraId="65382CF6" w14:textId="77777777" w:rsidR="000F3658" w:rsidRPr="000F3658" w:rsidRDefault="000F3658" w:rsidP="000F3658">
            <w:pPr>
              <w:spacing w:before="150" w:after="150"/>
              <w:jc w:val="right"/>
              <w:rPr>
                <w:color w:val="222222"/>
              </w:rPr>
            </w:pPr>
            <w:r w:rsidRPr="000F3658">
              <w:rPr>
                <w:color w:val="222222"/>
              </w:rPr>
              <w:t>1996</w:t>
            </w:r>
          </w:p>
        </w:tc>
        <w:tc>
          <w:tcPr>
            <w:tcW w:w="733" w:type="pct"/>
            <w:shd w:val="clear" w:color="auto" w:fill="F5F5F5"/>
            <w:tcMar>
              <w:top w:w="0" w:type="dxa"/>
              <w:left w:w="75" w:type="dxa"/>
              <w:bottom w:w="0" w:type="dxa"/>
              <w:right w:w="75" w:type="dxa"/>
            </w:tcMar>
            <w:vAlign w:val="center"/>
            <w:hideMark/>
          </w:tcPr>
          <w:p w14:paraId="3721D081" w14:textId="77777777" w:rsidR="000F3658" w:rsidRPr="000F3658" w:rsidRDefault="000F3658" w:rsidP="000F3658">
            <w:pPr>
              <w:spacing w:before="150" w:after="150"/>
              <w:jc w:val="right"/>
              <w:rPr>
                <w:color w:val="222222"/>
              </w:rPr>
            </w:pPr>
            <w:r w:rsidRPr="000F3658">
              <w:rPr>
                <w:color w:val="222222"/>
              </w:rPr>
              <w:t>33.9</w:t>
            </w:r>
          </w:p>
        </w:tc>
        <w:tc>
          <w:tcPr>
            <w:tcW w:w="1753" w:type="pct"/>
            <w:shd w:val="clear" w:color="auto" w:fill="F5F5F5"/>
            <w:tcMar>
              <w:top w:w="0" w:type="dxa"/>
              <w:left w:w="75" w:type="dxa"/>
              <w:bottom w:w="0" w:type="dxa"/>
              <w:right w:w="75" w:type="dxa"/>
            </w:tcMar>
            <w:vAlign w:val="center"/>
            <w:hideMark/>
          </w:tcPr>
          <w:p w14:paraId="2748B75C" w14:textId="77777777" w:rsidR="000F3658" w:rsidRPr="000F3658" w:rsidRDefault="000F3658" w:rsidP="000F3658">
            <w:pPr>
              <w:spacing w:before="150" w:after="150"/>
              <w:jc w:val="right"/>
              <w:rPr>
                <w:color w:val="222222"/>
              </w:rPr>
            </w:pPr>
            <w:r w:rsidRPr="000F3658">
              <w:rPr>
                <w:color w:val="222222"/>
              </w:rPr>
              <w:t>33.9</w:t>
            </w:r>
          </w:p>
        </w:tc>
        <w:tc>
          <w:tcPr>
            <w:tcW w:w="1817" w:type="pct"/>
            <w:shd w:val="clear" w:color="auto" w:fill="F5F5F5"/>
            <w:tcMar>
              <w:top w:w="0" w:type="dxa"/>
              <w:left w:w="75" w:type="dxa"/>
              <w:bottom w:w="0" w:type="dxa"/>
              <w:right w:w="75" w:type="dxa"/>
            </w:tcMar>
            <w:vAlign w:val="center"/>
            <w:hideMark/>
          </w:tcPr>
          <w:p w14:paraId="2BAF1DBD" w14:textId="77777777" w:rsidR="000F3658" w:rsidRPr="000F3658" w:rsidRDefault="000F3658" w:rsidP="000F3658">
            <w:pPr>
              <w:spacing w:before="150" w:after="150"/>
              <w:jc w:val="right"/>
              <w:rPr>
                <w:color w:val="222222"/>
              </w:rPr>
            </w:pPr>
            <w:r w:rsidRPr="000F3658">
              <w:rPr>
                <w:color w:val="222222"/>
              </w:rPr>
              <w:t>0.0</w:t>
            </w:r>
          </w:p>
        </w:tc>
      </w:tr>
      <w:tr w:rsidR="000F3658" w:rsidRPr="000F3658" w14:paraId="7E5F8BDA" w14:textId="77777777" w:rsidTr="000F3658">
        <w:trPr>
          <w:trHeight w:hRule="exact" w:val="504"/>
        </w:trPr>
        <w:tc>
          <w:tcPr>
            <w:tcW w:w="697" w:type="pct"/>
            <w:shd w:val="clear" w:color="auto" w:fill="auto"/>
            <w:tcMar>
              <w:top w:w="0" w:type="dxa"/>
              <w:left w:w="75" w:type="dxa"/>
              <w:bottom w:w="0" w:type="dxa"/>
              <w:right w:w="75" w:type="dxa"/>
            </w:tcMar>
            <w:vAlign w:val="center"/>
            <w:hideMark/>
          </w:tcPr>
          <w:p w14:paraId="4ABAE13F" w14:textId="77777777" w:rsidR="000F3658" w:rsidRPr="000F3658" w:rsidRDefault="000F3658" w:rsidP="000F3658">
            <w:pPr>
              <w:spacing w:before="150" w:after="150"/>
              <w:jc w:val="right"/>
              <w:rPr>
                <w:color w:val="222222"/>
              </w:rPr>
            </w:pPr>
            <w:r w:rsidRPr="000F3658">
              <w:rPr>
                <w:color w:val="222222"/>
              </w:rPr>
              <w:t>1997</w:t>
            </w:r>
          </w:p>
        </w:tc>
        <w:tc>
          <w:tcPr>
            <w:tcW w:w="733" w:type="pct"/>
            <w:shd w:val="clear" w:color="auto" w:fill="auto"/>
            <w:tcMar>
              <w:top w:w="0" w:type="dxa"/>
              <w:left w:w="75" w:type="dxa"/>
              <w:bottom w:w="0" w:type="dxa"/>
              <w:right w:w="75" w:type="dxa"/>
            </w:tcMar>
            <w:vAlign w:val="center"/>
            <w:hideMark/>
          </w:tcPr>
          <w:p w14:paraId="7E5FF9A3" w14:textId="77777777" w:rsidR="000F3658" w:rsidRPr="000F3658" w:rsidRDefault="000F3658" w:rsidP="000F3658">
            <w:pPr>
              <w:spacing w:before="150" w:after="150"/>
              <w:jc w:val="right"/>
              <w:rPr>
                <w:color w:val="222222"/>
              </w:rPr>
            </w:pPr>
            <w:r w:rsidRPr="000F3658">
              <w:rPr>
                <w:color w:val="222222"/>
              </w:rPr>
              <w:t>19.2</w:t>
            </w:r>
          </w:p>
        </w:tc>
        <w:tc>
          <w:tcPr>
            <w:tcW w:w="1753" w:type="pct"/>
            <w:shd w:val="clear" w:color="auto" w:fill="auto"/>
            <w:tcMar>
              <w:top w:w="0" w:type="dxa"/>
              <w:left w:w="75" w:type="dxa"/>
              <w:bottom w:w="0" w:type="dxa"/>
              <w:right w:w="75" w:type="dxa"/>
            </w:tcMar>
            <w:vAlign w:val="center"/>
            <w:hideMark/>
          </w:tcPr>
          <w:p w14:paraId="42F8D48E" w14:textId="77777777" w:rsidR="000F3658" w:rsidRPr="000F3658" w:rsidRDefault="000F3658" w:rsidP="000F3658">
            <w:pPr>
              <w:spacing w:before="150" w:after="150"/>
              <w:jc w:val="right"/>
              <w:rPr>
                <w:color w:val="222222"/>
              </w:rPr>
            </w:pPr>
            <w:r w:rsidRPr="000F3658">
              <w:rPr>
                <w:color w:val="222222"/>
              </w:rPr>
              <w:t>19.2</w:t>
            </w:r>
          </w:p>
        </w:tc>
        <w:tc>
          <w:tcPr>
            <w:tcW w:w="1817" w:type="pct"/>
            <w:shd w:val="clear" w:color="auto" w:fill="auto"/>
            <w:tcMar>
              <w:top w:w="0" w:type="dxa"/>
              <w:left w:w="75" w:type="dxa"/>
              <w:bottom w:w="0" w:type="dxa"/>
              <w:right w:w="75" w:type="dxa"/>
            </w:tcMar>
            <w:vAlign w:val="center"/>
            <w:hideMark/>
          </w:tcPr>
          <w:p w14:paraId="5EFF2C9E" w14:textId="77777777" w:rsidR="000F3658" w:rsidRPr="000F3658" w:rsidRDefault="000F3658" w:rsidP="000F3658">
            <w:pPr>
              <w:spacing w:before="150" w:after="150"/>
              <w:jc w:val="right"/>
              <w:rPr>
                <w:color w:val="222222"/>
              </w:rPr>
            </w:pPr>
            <w:r w:rsidRPr="000F3658">
              <w:rPr>
                <w:color w:val="222222"/>
              </w:rPr>
              <w:t>0.0</w:t>
            </w:r>
          </w:p>
        </w:tc>
      </w:tr>
      <w:tr w:rsidR="000F3658" w:rsidRPr="000F3658" w14:paraId="39DB9EFF" w14:textId="77777777" w:rsidTr="000F3658">
        <w:trPr>
          <w:trHeight w:hRule="exact" w:val="504"/>
        </w:trPr>
        <w:tc>
          <w:tcPr>
            <w:tcW w:w="697" w:type="pct"/>
            <w:shd w:val="clear" w:color="auto" w:fill="F5F5F5"/>
            <w:tcMar>
              <w:top w:w="0" w:type="dxa"/>
              <w:left w:w="75" w:type="dxa"/>
              <w:bottom w:w="0" w:type="dxa"/>
              <w:right w:w="75" w:type="dxa"/>
            </w:tcMar>
            <w:vAlign w:val="center"/>
            <w:hideMark/>
          </w:tcPr>
          <w:p w14:paraId="32851DF6" w14:textId="77777777" w:rsidR="000F3658" w:rsidRPr="000F3658" w:rsidRDefault="000F3658" w:rsidP="000F3658">
            <w:pPr>
              <w:spacing w:before="150" w:after="150"/>
              <w:jc w:val="right"/>
              <w:rPr>
                <w:color w:val="222222"/>
              </w:rPr>
            </w:pPr>
            <w:r w:rsidRPr="000F3658">
              <w:rPr>
                <w:color w:val="222222"/>
              </w:rPr>
              <w:t>1998</w:t>
            </w:r>
          </w:p>
        </w:tc>
        <w:tc>
          <w:tcPr>
            <w:tcW w:w="733" w:type="pct"/>
            <w:shd w:val="clear" w:color="auto" w:fill="F5F5F5"/>
            <w:tcMar>
              <w:top w:w="0" w:type="dxa"/>
              <w:left w:w="75" w:type="dxa"/>
              <w:bottom w:w="0" w:type="dxa"/>
              <w:right w:w="75" w:type="dxa"/>
            </w:tcMar>
            <w:vAlign w:val="center"/>
            <w:hideMark/>
          </w:tcPr>
          <w:p w14:paraId="37DB3245" w14:textId="77777777" w:rsidR="000F3658" w:rsidRPr="000F3658" w:rsidRDefault="000F3658" w:rsidP="000F3658">
            <w:pPr>
              <w:spacing w:before="150" w:after="150"/>
              <w:jc w:val="right"/>
              <w:rPr>
                <w:color w:val="222222"/>
              </w:rPr>
            </w:pPr>
            <w:r w:rsidRPr="000F3658">
              <w:rPr>
                <w:color w:val="222222"/>
              </w:rPr>
              <w:t>7.7</w:t>
            </w:r>
          </w:p>
        </w:tc>
        <w:tc>
          <w:tcPr>
            <w:tcW w:w="1753" w:type="pct"/>
            <w:shd w:val="clear" w:color="auto" w:fill="F5F5F5"/>
            <w:tcMar>
              <w:top w:w="0" w:type="dxa"/>
              <w:left w:w="75" w:type="dxa"/>
              <w:bottom w:w="0" w:type="dxa"/>
              <w:right w:w="75" w:type="dxa"/>
            </w:tcMar>
            <w:vAlign w:val="center"/>
            <w:hideMark/>
          </w:tcPr>
          <w:p w14:paraId="6F245AFA" w14:textId="77777777" w:rsidR="000F3658" w:rsidRPr="000F3658" w:rsidRDefault="000F3658" w:rsidP="000F3658">
            <w:pPr>
              <w:spacing w:before="150" w:after="150"/>
              <w:jc w:val="right"/>
              <w:rPr>
                <w:color w:val="222222"/>
              </w:rPr>
            </w:pPr>
            <w:r w:rsidRPr="000F3658">
              <w:rPr>
                <w:color w:val="222222"/>
              </w:rPr>
              <w:t>7.7</w:t>
            </w:r>
          </w:p>
        </w:tc>
        <w:tc>
          <w:tcPr>
            <w:tcW w:w="1817" w:type="pct"/>
            <w:shd w:val="clear" w:color="auto" w:fill="F5F5F5"/>
            <w:tcMar>
              <w:top w:w="0" w:type="dxa"/>
              <w:left w:w="75" w:type="dxa"/>
              <w:bottom w:w="0" w:type="dxa"/>
              <w:right w:w="75" w:type="dxa"/>
            </w:tcMar>
            <w:vAlign w:val="center"/>
            <w:hideMark/>
          </w:tcPr>
          <w:p w14:paraId="60C327D2" w14:textId="77777777" w:rsidR="000F3658" w:rsidRPr="000F3658" w:rsidRDefault="000F3658" w:rsidP="000F3658">
            <w:pPr>
              <w:spacing w:before="150" w:after="150"/>
              <w:jc w:val="right"/>
              <w:rPr>
                <w:color w:val="222222"/>
              </w:rPr>
            </w:pPr>
            <w:r w:rsidRPr="000F3658">
              <w:rPr>
                <w:color w:val="222222"/>
              </w:rPr>
              <w:t>0.0</w:t>
            </w:r>
          </w:p>
        </w:tc>
      </w:tr>
      <w:tr w:rsidR="000F3658" w:rsidRPr="000F3658" w14:paraId="5F6F2A57" w14:textId="77777777" w:rsidTr="000F3658">
        <w:trPr>
          <w:trHeight w:hRule="exact" w:val="504"/>
        </w:trPr>
        <w:tc>
          <w:tcPr>
            <w:tcW w:w="697" w:type="pct"/>
            <w:shd w:val="clear" w:color="auto" w:fill="auto"/>
            <w:tcMar>
              <w:top w:w="0" w:type="dxa"/>
              <w:left w:w="75" w:type="dxa"/>
              <w:bottom w:w="0" w:type="dxa"/>
              <w:right w:w="75" w:type="dxa"/>
            </w:tcMar>
            <w:vAlign w:val="center"/>
            <w:hideMark/>
          </w:tcPr>
          <w:p w14:paraId="396F7235" w14:textId="77777777" w:rsidR="000F3658" w:rsidRPr="000F3658" w:rsidRDefault="000F3658" w:rsidP="000F3658">
            <w:pPr>
              <w:spacing w:before="150" w:after="150"/>
              <w:jc w:val="right"/>
              <w:rPr>
                <w:color w:val="222222"/>
              </w:rPr>
            </w:pPr>
            <w:r w:rsidRPr="000F3658">
              <w:rPr>
                <w:color w:val="222222"/>
              </w:rPr>
              <w:t>1999</w:t>
            </w:r>
          </w:p>
        </w:tc>
        <w:tc>
          <w:tcPr>
            <w:tcW w:w="733" w:type="pct"/>
            <w:shd w:val="clear" w:color="auto" w:fill="auto"/>
            <w:tcMar>
              <w:top w:w="0" w:type="dxa"/>
              <w:left w:w="75" w:type="dxa"/>
              <w:bottom w:w="0" w:type="dxa"/>
              <w:right w:w="75" w:type="dxa"/>
            </w:tcMar>
            <w:vAlign w:val="center"/>
            <w:hideMark/>
          </w:tcPr>
          <w:p w14:paraId="037D1F5E" w14:textId="77777777" w:rsidR="000F3658" w:rsidRPr="000F3658" w:rsidRDefault="000F3658" w:rsidP="000F3658">
            <w:pPr>
              <w:spacing w:before="150" w:after="150"/>
              <w:jc w:val="right"/>
              <w:rPr>
                <w:color w:val="222222"/>
              </w:rPr>
            </w:pPr>
            <w:r w:rsidRPr="000F3658">
              <w:rPr>
                <w:color w:val="222222"/>
              </w:rPr>
              <w:t>39.4</w:t>
            </w:r>
          </w:p>
        </w:tc>
        <w:tc>
          <w:tcPr>
            <w:tcW w:w="1753" w:type="pct"/>
            <w:shd w:val="clear" w:color="auto" w:fill="auto"/>
            <w:tcMar>
              <w:top w:w="0" w:type="dxa"/>
              <w:left w:w="75" w:type="dxa"/>
              <w:bottom w:w="0" w:type="dxa"/>
              <w:right w:w="75" w:type="dxa"/>
            </w:tcMar>
            <w:vAlign w:val="center"/>
            <w:hideMark/>
          </w:tcPr>
          <w:p w14:paraId="722910E4" w14:textId="77777777" w:rsidR="000F3658" w:rsidRPr="000F3658" w:rsidRDefault="000F3658" w:rsidP="000F3658">
            <w:pPr>
              <w:spacing w:before="150" w:after="150"/>
              <w:jc w:val="right"/>
              <w:rPr>
                <w:color w:val="222222"/>
              </w:rPr>
            </w:pPr>
            <w:r w:rsidRPr="000F3658">
              <w:rPr>
                <w:color w:val="222222"/>
              </w:rPr>
              <w:t>39.4</w:t>
            </w:r>
          </w:p>
        </w:tc>
        <w:tc>
          <w:tcPr>
            <w:tcW w:w="1817" w:type="pct"/>
            <w:shd w:val="clear" w:color="auto" w:fill="auto"/>
            <w:tcMar>
              <w:top w:w="0" w:type="dxa"/>
              <w:left w:w="75" w:type="dxa"/>
              <w:bottom w:w="0" w:type="dxa"/>
              <w:right w:w="75" w:type="dxa"/>
            </w:tcMar>
            <w:vAlign w:val="center"/>
            <w:hideMark/>
          </w:tcPr>
          <w:p w14:paraId="2C7A006D" w14:textId="77777777" w:rsidR="000F3658" w:rsidRPr="000F3658" w:rsidRDefault="000F3658" w:rsidP="000F3658">
            <w:pPr>
              <w:spacing w:before="150" w:after="150"/>
              <w:jc w:val="right"/>
              <w:rPr>
                <w:color w:val="222222"/>
              </w:rPr>
            </w:pPr>
            <w:r w:rsidRPr="000F3658">
              <w:rPr>
                <w:color w:val="222222"/>
              </w:rPr>
              <w:t>0.0</w:t>
            </w:r>
          </w:p>
        </w:tc>
      </w:tr>
      <w:tr w:rsidR="000F3658" w:rsidRPr="000F3658" w14:paraId="51175A0E" w14:textId="77777777" w:rsidTr="000F3658">
        <w:trPr>
          <w:trHeight w:hRule="exact" w:val="504"/>
        </w:trPr>
        <w:tc>
          <w:tcPr>
            <w:tcW w:w="697" w:type="pct"/>
            <w:shd w:val="clear" w:color="auto" w:fill="F5F5F5"/>
            <w:tcMar>
              <w:top w:w="0" w:type="dxa"/>
              <w:left w:w="75" w:type="dxa"/>
              <w:bottom w:w="0" w:type="dxa"/>
              <w:right w:w="75" w:type="dxa"/>
            </w:tcMar>
            <w:vAlign w:val="center"/>
            <w:hideMark/>
          </w:tcPr>
          <w:p w14:paraId="46B83627" w14:textId="77777777" w:rsidR="000F3658" w:rsidRPr="000F3658" w:rsidRDefault="000F3658" w:rsidP="000F3658">
            <w:pPr>
              <w:spacing w:before="150" w:after="150"/>
              <w:jc w:val="right"/>
              <w:rPr>
                <w:color w:val="222222"/>
              </w:rPr>
            </w:pPr>
            <w:r w:rsidRPr="000F3658">
              <w:rPr>
                <w:color w:val="222222"/>
              </w:rPr>
              <w:lastRenderedPageBreak/>
              <w:t>2000</w:t>
            </w:r>
          </w:p>
        </w:tc>
        <w:tc>
          <w:tcPr>
            <w:tcW w:w="733" w:type="pct"/>
            <w:shd w:val="clear" w:color="auto" w:fill="F5F5F5"/>
            <w:tcMar>
              <w:top w:w="0" w:type="dxa"/>
              <w:left w:w="75" w:type="dxa"/>
              <w:bottom w:w="0" w:type="dxa"/>
              <w:right w:w="75" w:type="dxa"/>
            </w:tcMar>
            <w:vAlign w:val="center"/>
            <w:hideMark/>
          </w:tcPr>
          <w:p w14:paraId="24025B40" w14:textId="77777777" w:rsidR="000F3658" w:rsidRPr="000F3658" w:rsidRDefault="000F3658" w:rsidP="000F3658">
            <w:pPr>
              <w:spacing w:before="150" w:after="150"/>
              <w:jc w:val="right"/>
              <w:rPr>
                <w:color w:val="222222"/>
              </w:rPr>
            </w:pPr>
            <w:r w:rsidRPr="000F3658">
              <w:rPr>
                <w:color w:val="222222"/>
              </w:rPr>
              <w:t>23.7</w:t>
            </w:r>
          </w:p>
        </w:tc>
        <w:tc>
          <w:tcPr>
            <w:tcW w:w="1753" w:type="pct"/>
            <w:shd w:val="clear" w:color="auto" w:fill="F5F5F5"/>
            <w:tcMar>
              <w:top w:w="0" w:type="dxa"/>
              <w:left w:w="75" w:type="dxa"/>
              <w:bottom w:w="0" w:type="dxa"/>
              <w:right w:w="75" w:type="dxa"/>
            </w:tcMar>
            <w:vAlign w:val="center"/>
            <w:hideMark/>
          </w:tcPr>
          <w:p w14:paraId="09735B01" w14:textId="77777777" w:rsidR="000F3658" w:rsidRPr="000F3658" w:rsidRDefault="000F3658" w:rsidP="000F3658">
            <w:pPr>
              <w:spacing w:before="150" w:after="150"/>
              <w:jc w:val="right"/>
              <w:rPr>
                <w:color w:val="222222"/>
              </w:rPr>
            </w:pPr>
            <w:r w:rsidRPr="000F3658">
              <w:rPr>
                <w:color w:val="222222"/>
              </w:rPr>
              <w:t>23.7</w:t>
            </w:r>
          </w:p>
        </w:tc>
        <w:tc>
          <w:tcPr>
            <w:tcW w:w="1817" w:type="pct"/>
            <w:shd w:val="clear" w:color="auto" w:fill="F5F5F5"/>
            <w:tcMar>
              <w:top w:w="0" w:type="dxa"/>
              <w:left w:w="75" w:type="dxa"/>
              <w:bottom w:w="0" w:type="dxa"/>
              <w:right w:w="75" w:type="dxa"/>
            </w:tcMar>
            <w:vAlign w:val="center"/>
            <w:hideMark/>
          </w:tcPr>
          <w:p w14:paraId="2976E40C" w14:textId="77777777" w:rsidR="000F3658" w:rsidRPr="000F3658" w:rsidRDefault="000F3658" w:rsidP="000F3658">
            <w:pPr>
              <w:spacing w:before="150" w:after="150"/>
              <w:jc w:val="right"/>
              <w:rPr>
                <w:color w:val="222222"/>
              </w:rPr>
            </w:pPr>
            <w:r w:rsidRPr="000F3658">
              <w:rPr>
                <w:color w:val="222222"/>
              </w:rPr>
              <w:t>0.0</w:t>
            </w:r>
          </w:p>
        </w:tc>
      </w:tr>
      <w:tr w:rsidR="000F3658" w:rsidRPr="000F3658" w14:paraId="5C216B5B" w14:textId="77777777" w:rsidTr="000F3658">
        <w:trPr>
          <w:trHeight w:hRule="exact" w:val="504"/>
        </w:trPr>
        <w:tc>
          <w:tcPr>
            <w:tcW w:w="697" w:type="pct"/>
            <w:shd w:val="clear" w:color="auto" w:fill="auto"/>
            <w:tcMar>
              <w:top w:w="0" w:type="dxa"/>
              <w:left w:w="75" w:type="dxa"/>
              <w:bottom w:w="0" w:type="dxa"/>
              <w:right w:w="75" w:type="dxa"/>
            </w:tcMar>
            <w:vAlign w:val="center"/>
            <w:hideMark/>
          </w:tcPr>
          <w:p w14:paraId="07E69FAF" w14:textId="77777777" w:rsidR="000F3658" w:rsidRPr="000F3658" w:rsidRDefault="000F3658" w:rsidP="000F3658">
            <w:pPr>
              <w:spacing w:before="150" w:after="150"/>
              <w:jc w:val="right"/>
              <w:rPr>
                <w:color w:val="222222"/>
              </w:rPr>
            </w:pPr>
            <w:r w:rsidRPr="000F3658">
              <w:rPr>
                <w:color w:val="222222"/>
              </w:rPr>
              <w:t>2001</w:t>
            </w:r>
          </w:p>
        </w:tc>
        <w:tc>
          <w:tcPr>
            <w:tcW w:w="733" w:type="pct"/>
            <w:shd w:val="clear" w:color="auto" w:fill="auto"/>
            <w:tcMar>
              <w:top w:w="0" w:type="dxa"/>
              <w:left w:w="75" w:type="dxa"/>
              <w:bottom w:w="0" w:type="dxa"/>
              <w:right w:w="75" w:type="dxa"/>
            </w:tcMar>
            <w:vAlign w:val="center"/>
            <w:hideMark/>
          </w:tcPr>
          <w:p w14:paraId="3588B2D3" w14:textId="77777777" w:rsidR="000F3658" w:rsidRPr="000F3658" w:rsidRDefault="000F3658" w:rsidP="000F3658">
            <w:pPr>
              <w:spacing w:before="150" w:after="150"/>
              <w:jc w:val="right"/>
              <w:rPr>
                <w:color w:val="222222"/>
              </w:rPr>
            </w:pPr>
            <w:r w:rsidRPr="000F3658">
              <w:rPr>
                <w:color w:val="222222"/>
              </w:rPr>
              <w:t>10.9</w:t>
            </w:r>
          </w:p>
        </w:tc>
        <w:tc>
          <w:tcPr>
            <w:tcW w:w="1753" w:type="pct"/>
            <w:shd w:val="clear" w:color="auto" w:fill="auto"/>
            <w:tcMar>
              <w:top w:w="0" w:type="dxa"/>
              <w:left w:w="75" w:type="dxa"/>
              <w:bottom w:w="0" w:type="dxa"/>
              <w:right w:w="75" w:type="dxa"/>
            </w:tcMar>
            <w:vAlign w:val="center"/>
            <w:hideMark/>
          </w:tcPr>
          <w:p w14:paraId="58410F9C" w14:textId="77777777" w:rsidR="000F3658" w:rsidRPr="000F3658" w:rsidRDefault="000F3658" w:rsidP="000F3658">
            <w:pPr>
              <w:spacing w:before="150" w:after="150"/>
              <w:jc w:val="right"/>
              <w:rPr>
                <w:color w:val="222222"/>
              </w:rPr>
            </w:pPr>
            <w:r w:rsidRPr="000F3658">
              <w:rPr>
                <w:color w:val="222222"/>
              </w:rPr>
              <w:t>10.9</w:t>
            </w:r>
          </w:p>
        </w:tc>
        <w:tc>
          <w:tcPr>
            <w:tcW w:w="1817" w:type="pct"/>
            <w:shd w:val="clear" w:color="auto" w:fill="auto"/>
            <w:tcMar>
              <w:top w:w="0" w:type="dxa"/>
              <w:left w:w="75" w:type="dxa"/>
              <w:bottom w:w="0" w:type="dxa"/>
              <w:right w:w="75" w:type="dxa"/>
            </w:tcMar>
            <w:vAlign w:val="center"/>
            <w:hideMark/>
          </w:tcPr>
          <w:p w14:paraId="5300AE09" w14:textId="77777777" w:rsidR="000F3658" w:rsidRPr="000F3658" w:rsidRDefault="000F3658" w:rsidP="000F3658">
            <w:pPr>
              <w:spacing w:before="150" w:after="150"/>
              <w:jc w:val="right"/>
              <w:rPr>
                <w:color w:val="222222"/>
              </w:rPr>
            </w:pPr>
            <w:r w:rsidRPr="000F3658">
              <w:rPr>
                <w:color w:val="222222"/>
              </w:rPr>
              <w:t>0.0</w:t>
            </w:r>
          </w:p>
        </w:tc>
      </w:tr>
      <w:tr w:rsidR="000F3658" w:rsidRPr="000F3658" w14:paraId="3A7EAB1F" w14:textId="77777777" w:rsidTr="000F3658">
        <w:trPr>
          <w:trHeight w:hRule="exact" w:val="504"/>
        </w:trPr>
        <w:tc>
          <w:tcPr>
            <w:tcW w:w="697" w:type="pct"/>
            <w:shd w:val="clear" w:color="auto" w:fill="F5F5F5"/>
            <w:tcMar>
              <w:top w:w="0" w:type="dxa"/>
              <w:left w:w="75" w:type="dxa"/>
              <w:bottom w:w="0" w:type="dxa"/>
              <w:right w:w="75" w:type="dxa"/>
            </w:tcMar>
            <w:vAlign w:val="center"/>
            <w:hideMark/>
          </w:tcPr>
          <w:p w14:paraId="092064F8" w14:textId="77777777" w:rsidR="000F3658" w:rsidRPr="000F3658" w:rsidRDefault="000F3658" w:rsidP="000F3658">
            <w:pPr>
              <w:spacing w:before="150" w:after="150"/>
              <w:jc w:val="right"/>
              <w:rPr>
                <w:color w:val="222222"/>
              </w:rPr>
            </w:pPr>
            <w:r w:rsidRPr="000F3658">
              <w:rPr>
                <w:color w:val="222222"/>
              </w:rPr>
              <w:t>2002</w:t>
            </w:r>
          </w:p>
        </w:tc>
        <w:tc>
          <w:tcPr>
            <w:tcW w:w="733" w:type="pct"/>
            <w:shd w:val="clear" w:color="auto" w:fill="F5F5F5"/>
            <w:tcMar>
              <w:top w:w="0" w:type="dxa"/>
              <w:left w:w="75" w:type="dxa"/>
              <w:bottom w:w="0" w:type="dxa"/>
              <w:right w:w="75" w:type="dxa"/>
            </w:tcMar>
            <w:vAlign w:val="center"/>
            <w:hideMark/>
          </w:tcPr>
          <w:p w14:paraId="3ACE2894" w14:textId="77777777" w:rsidR="000F3658" w:rsidRPr="000F3658" w:rsidRDefault="000F3658" w:rsidP="000F3658">
            <w:pPr>
              <w:spacing w:before="150" w:after="150"/>
              <w:jc w:val="right"/>
              <w:rPr>
                <w:color w:val="222222"/>
              </w:rPr>
            </w:pPr>
            <w:r w:rsidRPr="000F3658">
              <w:rPr>
                <w:color w:val="222222"/>
              </w:rPr>
              <w:t>7.7</w:t>
            </w:r>
          </w:p>
        </w:tc>
        <w:tc>
          <w:tcPr>
            <w:tcW w:w="1753" w:type="pct"/>
            <w:shd w:val="clear" w:color="auto" w:fill="F5F5F5"/>
            <w:tcMar>
              <w:top w:w="0" w:type="dxa"/>
              <w:left w:w="75" w:type="dxa"/>
              <w:bottom w:w="0" w:type="dxa"/>
              <w:right w:w="75" w:type="dxa"/>
            </w:tcMar>
            <w:vAlign w:val="center"/>
            <w:hideMark/>
          </w:tcPr>
          <w:p w14:paraId="11F78F3C" w14:textId="77777777" w:rsidR="000F3658" w:rsidRPr="000F3658" w:rsidRDefault="000F3658" w:rsidP="000F3658">
            <w:pPr>
              <w:spacing w:before="150" w:after="150"/>
              <w:jc w:val="right"/>
              <w:rPr>
                <w:color w:val="222222"/>
              </w:rPr>
            </w:pPr>
            <w:r w:rsidRPr="000F3658">
              <w:rPr>
                <w:color w:val="222222"/>
              </w:rPr>
              <w:t>7.7</w:t>
            </w:r>
          </w:p>
        </w:tc>
        <w:tc>
          <w:tcPr>
            <w:tcW w:w="1817" w:type="pct"/>
            <w:shd w:val="clear" w:color="auto" w:fill="F5F5F5"/>
            <w:tcMar>
              <w:top w:w="0" w:type="dxa"/>
              <w:left w:w="75" w:type="dxa"/>
              <w:bottom w:w="0" w:type="dxa"/>
              <w:right w:w="75" w:type="dxa"/>
            </w:tcMar>
            <w:vAlign w:val="center"/>
            <w:hideMark/>
          </w:tcPr>
          <w:p w14:paraId="613E9FA0" w14:textId="77777777" w:rsidR="000F3658" w:rsidRPr="000F3658" w:rsidRDefault="000F3658" w:rsidP="000F3658">
            <w:pPr>
              <w:spacing w:before="150" w:after="150"/>
              <w:jc w:val="right"/>
              <w:rPr>
                <w:color w:val="222222"/>
              </w:rPr>
            </w:pPr>
            <w:r w:rsidRPr="000F3658">
              <w:rPr>
                <w:color w:val="222222"/>
              </w:rPr>
              <w:t>0.0</w:t>
            </w:r>
          </w:p>
        </w:tc>
      </w:tr>
      <w:tr w:rsidR="000F3658" w:rsidRPr="000F3658" w14:paraId="61C16981" w14:textId="77777777" w:rsidTr="000F3658">
        <w:trPr>
          <w:trHeight w:hRule="exact" w:val="504"/>
        </w:trPr>
        <w:tc>
          <w:tcPr>
            <w:tcW w:w="697" w:type="pct"/>
            <w:shd w:val="clear" w:color="auto" w:fill="auto"/>
            <w:tcMar>
              <w:top w:w="0" w:type="dxa"/>
              <w:left w:w="75" w:type="dxa"/>
              <w:bottom w:w="0" w:type="dxa"/>
              <w:right w:w="75" w:type="dxa"/>
            </w:tcMar>
            <w:vAlign w:val="center"/>
            <w:hideMark/>
          </w:tcPr>
          <w:p w14:paraId="2877909E" w14:textId="77777777" w:rsidR="000F3658" w:rsidRPr="000F3658" w:rsidRDefault="000F3658" w:rsidP="000F3658">
            <w:pPr>
              <w:spacing w:before="150" w:after="150"/>
              <w:jc w:val="right"/>
              <w:rPr>
                <w:color w:val="222222"/>
              </w:rPr>
            </w:pPr>
            <w:r w:rsidRPr="000F3658">
              <w:rPr>
                <w:color w:val="222222"/>
              </w:rPr>
              <w:t>2003</w:t>
            </w:r>
          </w:p>
        </w:tc>
        <w:tc>
          <w:tcPr>
            <w:tcW w:w="733" w:type="pct"/>
            <w:shd w:val="clear" w:color="auto" w:fill="auto"/>
            <w:tcMar>
              <w:top w:w="0" w:type="dxa"/>
              <w:left w:w="75" w:type="dxa"/>
              <w:bottom w:w="0" w:type="dxa"/>
              <w:right w:w="75" w:type="dxa"/>
            </w:tcMar>
            <w:vAlign w:val="center"/>
            <w:hideMark/>
          </w:tcPr>
          <w:p w14:paraId="0DF3B466" w14:textId="77777777" w:rsidR="000F3658" w:rsidRPr="000F3658" w:rsidRDefault="000F3658" w:rsidP="000F3658">
            <w:pPr>
              <w:spacing w:before="150" w:after="150"/>
              <w:jc w:val="right"/>
              <w:rPr>
                <w:color w:val="222222"/>
              </w:rPr>
            </w:pPr>
            <w:r w:rsidRPr="000F3658">
              <w:rPr>
                <w:color w:val="222222"/>
              </w:rPr>
              <w:t>13.0</w:t>
            </w:r>
          </w:p>
        </w:tc>
        <w:tc>
          <w:tcPr>
            <w:tcW w:w="1753" w:type="pct"/>
            <w:shd w:val="clear" w:color="auto" w:fill="auto"/>
            <w:tcMar>
              <w:top w:w="0" w:type="dxa"/>
              <w:left w:w="75" w:type="dxa"/>
              <w:bottom w:w="0" w:type="dxa"/>
              <w:right w:w="75" w:type="dxa"/>
            </w:tcMar>
            <w:vAlign w:val="center"/>
            <w:hideMark/>
          </w:tcPr>
          <w:p w14:paraId="595C6CF8" w14:textId="77777777" w:rsidR="000F3658" w:rsidRPr="000F3658" w:rsidRDefault="000F3658" w:rsidP="000F3658">
            <w:pPr>
              <w:spacing w:before="150" w:after="150"/>
              <w:jc w:val="right"/>
              <w:rPr>
                <w:color w:val="222222"/>
              </w:rPr>
            </w:pPr>
            <w:r w:rsidRPr="000F3658">
              <w:rPr>
                <w:color w:val="222222"/>
              </w:rPr>
              <w:t>13.0</w:t>
            </w:r>
          </w:p>
        </w:tc>
        <w:tc>
          <w:tcPr>
            <w:tcW w:w="1817" w:type="pct"/>
            <w:shd w:val="clear" w:color="auto" w:fill="auto"/>
            <w:tcMar>
              <w:top w:w="0" w:type="dxa"/>
              <w:left w:w="75" w:type="dxa"/>
              <w:bottom w:w="0" w:type="dxa"/>
              <w:right w:w="75" w:type="dxa"/>
            </w:tcMar>
            <w:vAlign w:val="center"/>
            <w:hideMark/>
          </w:tcPr>
          <w:p w14:paraId="49CD3D9C" w14:textId="77777777" w:rsidR="000F3658" w:rsidRPr="000F3658" w:rsidRDefault="000F3658" w:rsidP="000F3658">
            <w:pPr>
              <w:spacing w:before="150" w:after="150"/>
              <w:jc w:val="right"/>
              <w:rPr>
                <w:color w:val="222222"/>
              </w:rPr>
            </w:pPr>
            <w:r w:rsidRPr="000F3658">
              <w:rPr>
                <w:color w:val="222222"/>
              </w:rPr>
              <w:t>0.0</w:t>
            </w:r>
          </w:p>
        </w:tc>
      </w:tr>
      <w:tr w:rsidR="000F3658" w:rsidRPr="000F3658" w14:paraId="687831CC" w14:textId="77777777" w:rsidTr="000F3658">
        <w:trPr>
          <w:trHeight w:hRule="exact" w:val="504"/>
        </w:trPr>
        <w:tc>
          <w:tcPr>
            <w:tcW w:w="697" w:type="pct"/>
            <w:shd w:val="clear" w:color="auto" w:fill="F5F5F5"/>
            <w:tcMar>
              <w:top w:w="0" w:type="dxa"/>
              <w:left w:w="75" w:type="dxa"/>
              <w:bottom w:w="0" w:type="dxa"/>
              <w:right w:w="75" w:type="dxa"/>
            </w:tcMar>
            <w:vAlign w:val="center"/>
            <w:hideMark/>
          </w:tcPr>
          <w:p w14:paraId="53F95FEA" w14:textId="77777777" w:rsidR="000F3658" w:rsidRPr="000F3658" w:rsidRDefault="000F3658" w:rsidP="000F3658">
            <w:pPr>
              <w:spacing w:before="150" w:after="150"/>
              <w:jc w:val="right"/>
              <w:rPr>
                <w:color w:val="222222"/>
              </w:rPr>
            </w:pPr>
            <w:r w:rsidRPr="000F3658">
              <w:rPr>
                <w:color w:val="222222"/>
              </w:rPr>
              <w:t>2004</w:t>
            </w:r>
          </w:p>
        </w:tc>
        <w:tc>
          <w:tcPr>
            <w:tcW w:w="733" w:type="pct"/>
            <w:shd w:val="clear" w:color="auto" w:fill="F5F5F5"/>
            <w:tcMar>
              <w:top w:w="0" w:type="dxa"/>
              <w:left w:w="75" w:type="dxa"/>
              <w:bottom w:w="0" w:type="dxa"/>
              <w:right w:w="75" w:type="dxa"/>
            </w:tcMar>
            <w:vAlign w:val="center"/>
            <w:hideMark/>
          </w:tcPr>
          <w:p w14:paraId="20E17CFC" w14:textId="77777777" w:rsidR="000F3658" w:rsidRPr="000F3658" w:rsidRDefault="000F3658" w:rsidP="000F3658">
            <w:pPr>
              <w:spacing w:before="150" w:after="150"/>
              <w:jc w:val="right"/>
              <w:rPr>
                <w:color w:val="222222"/>
              </w:rPr>
            </w:pPr>
            <w:r w:rsidRPr="000F3658">
              <w:rPr>
                <w:color w:val="222222"/>
              </w:rPr>
              <w:t>8.2</w:t>
            </w:r>
          </w:p>
        </w:tc>
        <w:tc>
          <w:tcPr>
            <w:tcW w:w="1753" w:type="pct"/>
            <w:shd w:val="clear" w:color="auto" w:fill="F5F5F5"/>
            <w:tcMar>
              <w:top w:w="0" w:type="dxa"/>
              <w:left w:w="75" w:type="dxa"/>
              <w:bottom w:w="0" w:type="dxa"/>
              <w:right w:w="75" w:type="dxa"/>
            </w:tcMar>
            <w:vAlign w:val="center"/>
            <w:hideMark/>
          </w:tcPr>
          <w:p w14:paraId="05849562" w14:textId="77777777" w:rsidR="000F3658" w:rsidRPr="000F3658" w:rsidRDefault="000F3658" w:rsidP="000F3658">
            <w:pPr>
              <w:spacing w:before="150" w:after="150"/>
              <w:jc w:val="right"/>
              <w:rPr>
                <w:color w:val="222222"/>
              </w:rPr>
            </w:pPr>
            <w:r w:rsidRPr="000F3658">
              <w:rPr>
                <w:color w:val="222222"/>
              </w:rPr>
              <w:t>8.2</w:t>
            </w:r>
          </w:p>
        </w:tc>
        <w:tc>
          <w:tcPr>
            <w:tcW w:w="1817" w:type="pct"/>
            <w:shd w:val="clear" w:color="auto" w:fill="F5F5F5"/>
            <w:tcMar>
              <w:top w:w="0" w:type="dxa"/>
              <w:left w:w="75" w:type="dxa"/>
              <w:bottom w:w="0" w:type="dxa"/>
              <w:right w:w="75" w:type="dxa"/>
            </w:tcMar>
            <w:vAlign w:val="center"/>
            <w:hideMark/>
          </w:tcPr>
          <w:p w14:paraId="4A638F2B" w14:textId="77777777" w:rsidR="000F3658" w:rsidRPr="000F3658" w:rsidRDefault="000F3658" w:rsidP="000F3658">
            <w:pPr>
              <w:spacing w:before="150" w:after="150"/>
              <w:jc w:val="right"/>
              <w:rPr>
                <w:color w:val="222222"/>
              </w:rPr>
            </w:pPr>
            <w:r w:rsidRPr="000F3658">
              <w:rPr>
                <w:color w:val="222222"/>
              </w:rPr>
              <w:t>0.0</w:t>
            </w:r>
          </w:p>
        </w:tc>
      </w:tr>
      <w:tr w:rsidR="000F3658" w:rsidRPr="000F3658" w14:paraId="013E4510" w14:textId="77777777" w:rsidTr="000F3658">
        <w:trPr>
          <w:trHeight w:hRule="exact" w:val="504"/>
        </w:trPr>
        <w:tc>
          <w:tcPr>
            <w:tcW w:w="697" w:type="pct"/>
            <w:shd w:val="clear" w:color="auto" w:fill="auto"/>
            <w:tcMar>
              <w:top w:w="0" w:type="dxa"/>
              <w:left w:w="75" w:type="dxa"/>
              <w:bottom w:w="0" w:type="dxa"/>
              <w:right w:w="75" w:type="dxa"/>
            </w:tcMar>
            <w:vAlign w:val="center"/>
            <w:hideMark/>
          </w:tcPr>
          <w:p w14:paraId="661B3C65" w14:textId="77777777" w:rsidR="000F3658" w:rsidRPr="000F3658" w:rsidRDefault="000F3658" w:rsidP="000F3658">
            <w:pPr>
              <w:spacing w:before="150" w:after="150"/>
              <w:jc w:val="right"/>
              <w:rPr>
                <w:color w:val="222222"/>
              </w:rPr>
            </w:pPr>
            <w:r w:rsidRPr="000F3658">
              <w:rPr>
                <w:color w:val="222222"/>
              </w:rPr>
              <w:t>2005</w:t>
            </w:r>
          </w:p>
        </w:tc>
        <w:tc>
          <w:tcPr>
            <w:tcW w:w="733" w:type="pct"/>
            <w:shd w:val="clear" w:color="auto" w:fill="auto"/>
            <w:tcMar>
              <w:top w:w="0" w:type="dxa"/>
              <w:left w:w="75" w:type="dxa"/>
              <w:bottom w:w="0" w:type="dxa"/>
              <w:right w:w="75" w:type="dxa"/>
            </w:tcMar>
            <w:vAlign w:val="center"/>
            <w:hideMark/>
          </w:tcPr>
          <w:p w14:paraId="3DE8CE00" w14:textId="77777777" w:rsidR="000F3658" w:rsidRPr="000F3658" w:rsidRDefault="000F3658" w:rsidP="000F3658">
            <w:pPr>
              <w:spacing w:before="150" w:after="150"/>
              <w:jc w:val="right"/>
              <w:rPr>
                <w:color w:val="222222"/>
              </w:rPr>
            </w:pPr>
            <w:r w:rsidRPr="000F3658">
              <w:rPr>
                <w:color w:val="222222"/>
              </w:rPr>
              <w:t>15.5</w:t>
            </w:r>
          </w:p>
        </w:tc>
        <w:tc>
          <w:tcPr>
            <w:tcW w:w="1753" w:type="pct"/>
            <w:shd w:val="clear" w:color="auto" w:fill="auto"/>
            <w:tcMar>
              <w:top w:w="0" w:type="dxa"/>
              <w:left w:w="75" w:type="dxa"/>
              <w:bottom w:w="0" w:type="dxa"/>
              <w:right w:w="75" w:type="dxa"/>
            </w:tcMar>
            <w:vAlign w:val="center"/>
            <w:hideMark/>
          </w:tcPr>
          <w:p w14:paraId="2733B1A4" w14:textId="77777777" w:rsidR="000F3658" w:rsidRPr="000F3658" w:rsidRDefault="000F3658" w:rsidP="000F3658">
            <w:pPr>
              <w:spacing w:before="150" w:after="150"/>
              <w:jc w:val="right"/>
              <w:rPr>
                <w:color w:val="222222"/>
              </w:rPr>
            </w:pPr>
            <w:r w:rsidRPr="000F3658">
              <w:rPr>
                <w:color w:val="222222"/>
              </w:rPr>
              <w:t>15.4</w:t>
            </w:r>
          </w:p>
        </w:tc>
        <w:tc>
          <w:tcPr>
            <w:tcW w:w="1817" w:type="pct"/>
            <w:shd w:val="clear" w:color="auto" w:fill="auto"/>
            <w:tcMar>
              <w:top w:w="0" w:type="dxa"/>
              <w:left w:w="75" w:type="dxa"/>
              <w:bottom w:w="0" w:type="dxa"/>
              <w:right w:w="75" w:type="dxa"/>
            </w:tcMar>
            <w:vAlign w:val="center"/>
            <w:hideMark/>
          </w:tcPr>
          <w:p w14:paraId="053299AD" w14:textId="77777777" w:rsidR="000F3658" w:rsidRPr="000F3658" w:rsidRDefault="000F3658" w:rsidP="000F3658">
            <w:pPr>
              <w:spacing w:before="150" w:after="150"/>
              <w:jc w:val="right"/>
              <w:rPr>
                <w:color w:val="222222"/>
              </w:rPr>
            </w:pPr>
            <w:r w:rsidRPr="000F3658">
              <w:rPr>
                <w:color w:val="222222"/>
              </w:rPr>
              <w:t>0.1</w:t>
            </w:r>
          </w:p>
        </w:tc>
      </w:tr>
      <w:tr w:rsidR="000F3658" w:rsidRPr="000F3658" w14:paraId="507E7278" w14:textId="77777777" w:rsidTr="000F3658">
        <w:trPr>
          <w:trHeight w:hRule="exact" w:val="504"/>
        </w:trPr>
        <w:tc>
          <w:tcPr>
            <w:tcW w:w="697" w:type="pct"/>
            <w:shd w:val="clear" w:color="auto" w:fill="F5F5F5"/>
            <w:tcMar>
              <w:top w:w="0" w:type="dxa"/>
              <w:left w:w="75" w:type="dxa"/>
              <w:bottom w:w="0" w:type="dxa"/>
              <w:right w:w="75" w:type="dxa"/>
            </w:tcMar>
            <w:vAlign w:val="center"/>
            <w:hideMark/>
          </w:tcPr>
          <w:p w14:paraId="4CEC27AA" w14:textId="77777777" w:rsidR="000F3658" w:rsidRPr="000F3658" w:rsidRDefault="000F3658" w:rsidP="000F3658">
            <w:pPr>
              <w:spacing w:before="150" w:after="150"/>
              <w:jc w:val="right"/>
              <w:rPr>
                <w:color w:val="222222"/>
              </w:rPr>
            </w:pPr>
            <w:r w:rsidRPr="000F3658">
              <w:rPr>
                <w:color w:val="222222"/>
              </w:rPr>
              <w:t>2006</w:t>
            </w:r>
          </w:p>
        </w:tc>
        <w:tc>
          <w:tcPr>
            <w:tcW w:w="733" w:type="pct"/>
            <w:shd w:val="clear" w:color="auto" w:fill="F5F5F5"/>
            <w:tcMar>
              <w:top w:w="0" w:type="dxa"/>
              <w:left w:w="75" w:type="dxa"/>
              <w:bottom w:w="0" w:type="dxa"/>
              <w:right w:w="75" w:type="dxa"/>
            </w:tcMar>
            <w:vAlign w:val="center"/>
            <w:hideMark/>
          </w:tcPr>
          <w:p w14:paraId="1ABA8F16" w14:textId="77777777" w:rsidR="000F3658" w:rsidRPr="000F3658" w:rsidRDefault="000F3658" w:rsidP="000F3658">
            <w:pPr>
              <w:spacing w:before="150" w:after="150"/>
              <w:jc w:val="right"/>
              <w:rPr>
                <w:color w:val="222222"/>
              </w:rPr>
            </w:pPr>
            <w:r w:rsidRPr="000F3658">
              <w:rPr>
                <w:color w:val="222222"/>
              </w:rPr>
              <w:t>9.9</w:t>
            </w:r>
          </w:p>
        </w:tc>
        <w:tc>
          <w:tcPr>
            <w:tcW w:w="1753" w:type="pct"/>
            <w:shd w:val="clear" w:color="auto" w:fill="F5F5F5"/>
            <w:tcMar>
              <w:top w:w="0" w:type="dxa"/>
              <w:left w:w="75" w:type="dxa"/>
              <w:bottom w:w="0" w:type="dxa"/>
              <w:right w:w="75" w:type="dxa"/>
            </w:tcMar>
            <w:vAlign w:val="center"/>
            <w:hideMark/>
          </w:tcPr>
          <w:p w14:paraId="020FF445" w14:textId="77777777" w:rsidR="000F3658" w:rsidRPr="000F3658" w:rsidRDefault="000F3658" w:rsidP="000F3658">
            <w:pPr>
              <w:spacing w:before="150" w:after="150"/>
              <w:jc w:val="right"/>
              <w:rPr>
                <w:color w:val="222222"/>
              </w:rPr>
            </w:pPr>
            <w:r w:rsidRPr="000F3658">
              <w:rPr>
                <w:color w:val="222222"/>
              </w:rPr>
              <w:t>9.8</w:t>
            </w:r>
          </w:p>
        </w:tc>
        <w:tc>
          <w:tcPr>
            <w:tcW w:w="1817" w:type="pct"/>
            <w:shd w:val="clear" w:color="auto" w:fill="F5F5F5"/>
            <w:tcMar>
              <w:top w:w="0" w:type="dxa"/>
              <w:left w:w="75" w:type="dxa"/>
              <w:bottom w:w="0" w:type="dxa"/>
              <w:right w:w="75" w:type="dxa"/>
            </w:tcMar>
            <w:vAlign w:val="center"/>
            <w:hideMark/>
          </w:tcPr>
          <w:p w14:paraId="391AB42A" w14:textId="77777777" w:rsidR="000F3658" w:rsidRPr="000F3658" w:rsidRDefault="000F3658" w:rsidP="000F3658">
            <w:pPr>
              <w:spacing w:before="150" w:after="150"/>
              <w:jc w:val="right"/>
              <w:rPr>
                <w:color w:val="222222"/>
              </w:rPr>
            </w:pPr>
            <w:r w:rsidRPr="000F3658">
              <w:rPr>
                <w:color w:val="222222"/>
              </w:rPr>
              <w:t>0.1</w:t>
            </w:r>
          </w:p>
        </w:tc>
      </w:tr>
      <w:tr w:rsidR="000F3658" w:rsidRPr="000F3658" w14:paraId="616C95AF" w14:textId="77777777" w:rsidTr="000F3658">
        <w:trPr>
          <w:trHeight w:hRule="exact" w:val="504"/>
        </w:trPr>
        <w:tc>
          <w:tcPr>
            <w:tcW w:w="697" w:type="pct"/>
            <w:shd w:val="clear" w:color="auto" w:fill="auto"/>
            <w:tcMar>
              <w:top w:w="0" w:type="dxa"/>
              <w:left w:w="75" w:type="dxa"/>
              <w:bottom w:w="0" w:type="dxa"/>
              <w:right w:w="75" w:type="dxa"/>
            </w:tcMar>
            <w:vAlign w:val="center"/>
            <w:hideMark/>
          </w:tcPr>
          <w:p w14:paraId="1DFA53D1" w14:textId="77777777" w:rsidR="000F3658" w:rsidRPr="000F3658" w:rsidRDefault="000F3658" w:rsidP="000F3658">
            <w:pPr>
              <w:spacing w:before="150" w:after="150"/>
              <w:jc w:val="right"/>
              <w:rPr>
                <w:color w:val="222222"/>
              </w:rPr>
            </w:pPr>
            <w:r w:rsidRPr="000F3658">
              <w:rPr>
                <w:color w:val="222222"/>
              </w:rPr>
              <w:t>2007</w:t>
            </w:r>
          </w:p>
        </w:tc>
        <w:tc>
          <w:tcPr>
            <w:tcW w:w="733" w:type="pct"/>
            <w:shd w:val="clear" w:color="auto" w:fill="auto"/>
            <w:tcMar>
              <w:top w:w="0" w:type="dxa"/>
              <w:left w:w="75" w:type="dxa"/>
              <w:bottom w:w="0" w:type="dxa"/>
              <w:right w:w="75" w:type="dxa"/>
            </w:tcMar>
            <w:vAlign w:val="center"/>
            <w:hideMark/>
          </w:tcPr>
          <w:p w14:paraId="276E33D2" w14:textId="77777777" w:rsidR="000F3658" w:rsidRPr="000F3658" w:rsidRDefault="000F3658" w:rsidP="000F3658">
            <w:pPr>
              <w:spacing w:before="150" w:after="150"/>
              <w:jc w:val="right"/>
              <w:rPr>
                <w:color w:val="222222"/>
              </w:rPr>
            </w:pPr>
            <w:r w:rsidRPr="000F3658">
              <w:rPr>
                <w:color w:val="222222"/>
              </w:rPr>
              <w:t>1.0</w:t>
            </w:r>
          </w:p>
        </w:tc>
        <w:tc>
          <w:tcPr>
            <w:tcW w:w="1753" w:type="pct"/>
            <w:shd w:val="clear" w:color="auto" w:fill="auto"/>
            <w:tcMar>
              <w:top w:w="0" w:type="dxa"/>
              <w:left w:w="75" w:type="dxa"/>
              <w:bottom w:w="0" w:type="dxa"/>
              <w:right w:w="75" w:type="dxa"/>
            </w:tcMar>
            <w:vAlign w:val="center"/>
            <w:hideMark/>
          </w:tcPr>
          <w:p w14:paraId="49C6D049" w14:textId="77777777" w:rsidR="000F3658" w:rsidRPr="000F3658" w:rsidRDefault="000F3658" w:rsidP="000F3658">
            <w:pPr>
              <w:spacing w:before="150" w:after="150"/>
              <w:jc w:val="right"/>
              <w:rPr>
                <w:color w:val="222222"/>
              </w:rPr>
            </w:pPr>
            <w:r w:rsidRPr="000F3658">
              <w:rPr>
                <w:color w:val="222222"/>
              </w:rPr>
              <w:t>1.0</w:t>
            </w:r>
          </w:p>
        </w:tc>
        <w:tc>
          <w:tcPr>
            <w:tcW w:w="1817" w:type="pct"/>
            <w:shd w:val="clear" w:color="auto" w:fill="auto"/>
            <w:tcMar>
              <w:top w:w="0" w:type="dxa"/>
              <w:left w:w="75" w:type="dxa"/>
              <w:bottom w:w="0" w:type="dxa"/>
              <w:right w:w="75" w:type="dxa"/>
            </w:tcMar>
            <w:vAlign w:val="center"/>
            <w:hideMark/>
          </w:tcPr>
          <w:p w14:paraId="6B3167EB" w14:textId="77777777" w:rsidR="000F3658" w:rsidRPr="000F3658" w:rsidRDefault="000F3658" w:rsidP="000F3658">
            <w:pPr>
              <w:spacing w:before="150" w:after="150"/>
              <w:jc w:val="right"/>
              <w:rPr>
                <w:color w:val="222222"/>
              </w:rPr>
            </w:pPr>
            <w:r w:rsidRPr="000F3658">
              <w:rPr>
                <w:color w:val="222222"/>
              </w:rPr>
              <w:t>0.0</w:t>
            </w:r>
          </w:p>
        </w:tc>
      </w:tr>
      <w:tr w:rsidR="000F3658" w:rsidRPr="000F3658" w14:paraId="0B284E8F" w14:textId="77777777" w:rsidTr="000F3658">
        <w:trPr>
          <w:trHeight w:hRule="exact" w:val="504"/>
        </w:trPr>
        <w:tc>
          <w:tcPr>
            <w:tcW w:w="697" w:type="pct"/>
            <w:shd w:val="clear" w:color="auto" w:fill="F5F5F5"/>
            <w:tcMar>
              <w:top w:w="0" w:type="dxa"/>
              <w:left w:w="75" w:type="dxa"/>
              <w:bottom w:w="0" w:type="dxa"/>
              <w:right w:w="75" w:type="dxa"/>
            </w:tcMar>
            <w:vAlign w:val="center"/>
            <w:hideMark/>
          </w:tcPr>
          <w:p w14:paraId="1DB74965" w14:textId="77777777" w:rsidR="000F3658" w:rsidRPr="000F3658" w:rsidRDefault="000F3658" w:rsidP="000F3658">
            <w:pPr>
              <w:spacing w:before="150" w:after="150"/>
              <w:jc w:val="right"/>
              <w:rPr>
                <w:color w:val="222222"/>
              </w:rPr>
            </w:pPr>
            <w:r w:rsidRPr="000F3658">
              <w:rPr>
                <w:color w:val="222222"/>
              </w:rPr>
              <w:t>2008</w:t>
            </w:r>
          </w:p>
        </w:tc>
        <w:tc>
          <w:tcPr>
            <w:tcW w:w="733" w:type="pct"/>
            <w:shd w:val="clear" w:color="auto" w:fill="F5F5F5"/>
            <w:tcMar>
              <w:top w:w="0" w:type="dxa"/>
              <w:left w:w="75" w:type="dxa"/>
              <w:bottom w:w="0" w:type="dxa"/>
              <w:right w:w="75" w:type="dxa"/>
            </w:tcMar>
            <w:vAlign w:val="center"/>
            <w:hideMark/>
          </w:tcPr>
          <w:p w14:paraId="1B8773F9" w14:textId="77777777" w:rsidR="000F3658" w:rsidRPr="000F3658" w:rsidRDefault="000F3658" w:rsidP="000F3658">
            <w:pPr>
              <w:spacing w:before="150" w:after="150"/>
              <w:jc w:val="right"/>
              <w:rPr>
                <w:color w:val="222222"/>
              </w:rPr>
            </w:pPr>
            <w:r w:rsidRPr="000F3658">
              <w:rPr>
                <w:color w:val="222222"/>
              </w:rPr>
              <w:t>3.4</w:t>
            </w:r>
          </w:p>
        </w:tc>
        <w:tc>
          <w:tcPr>
            <w:tcW w:w="1753" w:type="pct"/>
            <w:shd w:val="clear" w:color="auto" w:fill="F5F5F5"/>
            <w:tcMar>
              <w:top w:w="0" w:type="dxa"/>
              <w:left w:w="75" w:type="dxa"/>
              <w:bottom w:w="0" w:type="dxa"/>
              <w:right w:w="75" w:type="dxa"/>
            </w:tcMar>
            <w:vAlign w:val="center"/>
            <w:hideMark/>
          </w:tcPr>
          <w:p w14:paraId="3678C77D" w14:textId="77777777" w:rsidR="000F3658" w:rsidRPr="000F3658" w:rsidRDefault="000F3658" w:rsidP="000F3658">
            <w:pPr>
              <w:spacing w:before="150" w:after="150"/>
              <w:jc w:val="right"/>
              <w:rPr>
                <w:color w:val="222222"/>
              </w:rPr>
            </w:pPr>
            <w:r w:rsidRPr="000F3658">
              <w:rPr>
                <w:color w:val="222222"/>
              </w:rPr>
              <w:t>2.9</w:t>
            </w:r>
          </w:p>
        </w:tc>
        <w:tc>
          <w:tcPr>
            <w:tcW w:w="1817" w:type="pct"/>
            <w:shd w:val="clear" w:color="auto" w:fill="F5F5F5"/>
            <w:tcMar>
              <w:top w:w="0" w:type="dxa"/>
              <w:left w:w="75" w:type="dxa"/>
              <w:bottom w:w="0" w:type="dxa"/>
              <w:right w:w="75" w:type="dxa"/>
            </w:tcMar>
            <w:vAlign w:val="center"/>
            <w:hideMark/>
          </w:tcPr>
          <w:p w14:paraId="5289CA72" w14:textId="77777777" w:rsidR="000F3658" w:rsidRPr="000F3658" w:rsidRDefault="000F3658" w:rsidP="000F3658">
            <w:pPr>
              <w:spacing w:before="150" w:after="150"/>
              <w:jc w:val="right"/>
              <w:rPr>
                <w:color w:val="222222"/>
              </w:rPr>
            </w:pPr>
            <w:r w:rsidRPr="000F3658">
              <w:rPr>
                <w:color w:val="222222"/>
              </w:rPr>
              <w:t>0.5</w:t>
            </w:r>
          </w:p>
        </w:tc>
      </w:tr>
      <w:tr w:rsidR="000F3658" w:rsidRPr="000F3658" w14:paraId="5A27818C" w14:textId="77777777" w:rsidTr="000F3658">
        <w:trPr>
          <w:trHeight w:hRule="exact" w:val="504"/>
        </w:trPr>
        <w:tc>
          <w:tcPr>
            <w:tcW w:w="697" w:type="pct"/>
            <w:shd w:val="clear" w:color="auto" w:fill="auto"/>
            <w:tcMar>
              <w:top w:w="0" w:type="dxa"/>
              <w:left w:w="75" w:type="dxa"/>
              <w:bottom w:w="0" w:type="dxa"/>
              <w:right w:w="75" w:type="dxa"/>
            </w:tcMar>
            <w:vAlign w:val="center"/>
            <w:hideMark/>
          </w:tcPr>
          <w:p w14:paraId="245A80F1" w14:textId="77777777" w:rsidR="000F3658" w:rsidRPr="000F3658" w:rsidRDefault="000F3658" w:rsidP="000F3658">
            <w:pPr>
              <w:spacing w:before="150" w:after="150"/>
              <w:jc w:val="right"/>
              <w:rPr>
                <w:color w:val="222222"/>
              </w:rPr>
            </w:pPr>
            <w:r w:rsidRPr="000F3658">
              <w:rPr>
                <w:color w:val="222222"/>
              </w:rPr>
              <w:t>2009</w:t>
            </w:r>
          </w:p>
        </w:tc>
        <w:tc>
          <w:tcPr>
            <w:tcW w:w="733" w:type="pct"/>
            <w:shd w:val="clear" w:color="auto" w:fill="auto"/>
            <w:tcMar>
              <w:top w:w="0" w:type="dxa"/>
              <w:left w:w="75" w:type="dxa"/>
              <w:bottom w:w="0" w:type="dxa"/>
              <w:right w:w="75" w:type="dxa"/>
            </w:tcMar>
            <w:vAlign w:val="center"/>
            <w:hideMark/>
          </w:tcPr>
          <w:p w14:paraId="3F1171D8" w14:textId="77777777" w:rsidR="000F3658" w:rsidRPr="000F3658" w:rsidRDefault="000F3658" w:rsidP="000F3658">
            <w:pPr>
              <w:spacing w:before="150" w:after="150"/>
              <w:jc w:val="right"/>
              <w:rPr>
                <w:color w:val="222222"/>
              </w:rPr>
            </w:pPr>
            <w:r w:rsidRPr="000F3658">
              <w:rPr>
                <w:color w:val="222222"/>
              </w:rPr>
              <w:t>3.6</w:t>
            </w:r>
          </w:p>
        </w:tc>
        <w:tc>
          <w:tcPr>
            <w:tcW w:w="1753" w:type="pct"/>
            <w:shd w:val="clear" w:color="auto" w:fill="auto"/>
            <w:tcMar>
              <w:top w:w="0" w:type="dxa"/>
              <w:left w:w="75" w:type="dxa"/>
              <w:bottom w:w="0" w:type="dxa"/>
              <w:right w:w="75" w:type="dxa"/>
            </w:tcMar>
            <w:vAlign w:val="center"/>
            <w:hideMark/>
          </w:tcPr>
          <w:p w14:paraId="1B495293" w14:textId="77777777" w:rsidR="000F3658" w:rsidRPr="000F3658" w:rsidRDefault="000F3658" w:rsidP="000F3658">
            <w:pPr>
              <w:spacing w:before="150" w:after="150"/>
              <w:jc w:val="right"/>
              <w:rPr>
                <w:color w:val="222222"/>
              </w:rPr>
            </w:pPr>
            <w:r w:rsidRPr="000F3658">
              <w:rPr>
                <w:color w:val="222222"/>
              </w:rPr>
              <w:t>2.3</w:t>
            </w:r>
          </w:p>
        </w:tc>
        <w:tc>
          <w:tcPr>
            <w:tcW w:w="1817" w:type="pct"/>
            <w:shd w:val="clear" w:color="auto" w:fill="auto"/>
            <w:tcMar>
              <w:top w:w="0" w:type="dxa"/>
              <w:left w:w="75" w:type="dxa"/>
              <w:bottom w:w="0" w:type="dxa"/>
              <w:right w:w="75" w:type="dxa"/>
            </w:tcMar>
            <w:vAlign w:val="center"/>
            <w:hideMark/>
          </w:tcPr>
          <w:p w14:paraId="66F1827A" w14:textId="77777777" w:rsidR="000F3658" w:rsidRPr="000F3658" w:rsidRDefault="000F3658" w:rsidP="000F3658">
            <w:pPr>
              <w:spacing w:before="150" w:after="150"/>
              <w:jc w:val="right"/>
              <w:rPr>
                <w:color w:val="222222"/>
              </w:rPr>
            </w:pPr>
            <w:r w:rsidRPr="000F3658">
              <w:rPr>
                <w:color w:val="222222"/>
              </w:rPr>
              <w:t>1.3</w:t>
            </w:r>
          </w:p>
        </w:tc>
      </w:tr>
      <w:tr w:rsidR="000F3658" w:rsidRPr="000F3658" w14:paraId="67ACCD46" w14:textId="77777777" w:rsidTr="000F3658">
        <w:trPr>
          <w:trHeight w:hRule="exact" w:val="504"/>
        </w:trPr>
        <w:tc>
          <w:tcPr>
            <w:tcW w:w="697" w:type="pct"/>
            <w:shd w:val="clear" w:color="auto" w:fill="F5F5F5"/>
            <w:tcMar>
              <w:top w:w="0" w:type="dxa"/>
              <w:left w:w="75" w:type="dxa"/>
              <w:bottom w:w="0" w:type="dxa"/>
              <w:right w:w="75" w:type="dxa"/>
            </w:tcMar>
            <w:vAlign w:val="center"/>
            <w:hideMark/>
          </w:tcPr>
          <w:p w14:paraId="38A1C209" w14:textId="77777777" w:rsidR="000F3658" w:rsidRPr="000F3658" w:rsidRDefault="000F3658" w:rsidP="000F3658">
            <w:pPr>
              <w:spacing w:before="150" w:after="150"/>
              <w:jc w:val="right"/>
              <w:rPr>
                <w:color w:val="222222"/>
              </w:rPr>
            </w:pPr>
            <w:r w:rsidRPr="000F3658">
              <w:rPr>
                <w:color w:val="222222"/>
              </w:rPr>
              <w:t>2010</w:t>
            </w:r>
          </w:p>
        </w:tc>
        <w:tc>
          <w:tcPr>
            <w:tcW w:w="733" w:type="pct"/>
            <w:shd w:val="clear" w:color="auto" w:fill="F5F5F5"/>
            <w:tcMar>
              <w:top w:w="0" w:type="dxa"/>
              <w:left w:w="75" w:type="dxa"/>
              <w:bottom w:w="0" w:type="dxa"/>
              <w:right w:w="75" w:type="dxa"/>
            </w:tcMar>
            <w:vAlign w:val="center"/>
            <w:hideMark/>
          </w:tcPr>
          <w:p w14:paraId="309D9582" w14:textId="77777777" w:rsidR="000F3658" w:rsidRPr="000F3658" w:rsidRDefault="000F3658" w:rsidP="000F3658">
            <w:pPr>
              <w:spacing w:before="150" w:after="150"/>
              <w:jc w:val="right"/>
              <w:rPr>
                <w:color w:val="222222"/>
              </w:rPr>
            </w:pPr>
            <w:r w:rsidRPr="000F3658">
              <w:rPr>
                <w:color w:val="222222"/>
              </w:rPr>
              <w:t>5.3</w:t>
            </w:r>
          </w:p>
        </w:tc>
        <w:tc>
          <w:tcPr>
            <w:tcW w:w="1753" w:type="pct"/>
            <w:shd w:val="clear" w:color="auto" w:fill="F5F5F5"/>
            <w:tcMar>
              <w:top w:w="0" w:type="dxa"/>
              <w:left w:w="75" w:type="dxa"/>
              <w:bottom w:w="0" w:type="dxa"/>
              <w:right w:w="75" w:type="dxa"/>
            </w:tcMar>
            <w:vAlign w:val="center"/>
            <w:hideMark/>
          </w:tcPr>
          <w:p w14:paraId="287D6595" w14:textId="77777777" w:rsidR="000F3658" w:rsidRPr="000F3658" w:rsidRDefault="000F3658" w:rsidP="000F3658">
            <w:pPr>
              <w:spacing w:before="150" w:after="150"/>
              <w:jc w:val="right"/>
              <w:rPr>
                <w:color w:val="222222"/>
              </w:rPr>
            </w:pPr>
            <w:r w:rsidRPr="000F3658">
              <w:rPr>
                <w:color w:val="222222"/>
              </w:rPr>
              <w:t>3.8</w:t>
            </w:r>
          </w:p>
        </w:tc>
        <w:tc>
          <w:tcPr>
            <w:tcW w:w="1817" w:type="pct"/>
            <w:shd w:val="clear" w:color="auto" w:fill="F5F5F5"/>
            <w:tcMar>
              <w:top w:w="0" w:type="dxa"/>
              <w:left w:w="75" w:type="dxa"/>
              <w:bottom w:w="0" w:type="dxa"/>
              <w:right w:w="75" w:type="dxa"/>
            </w:tcMar>
            <w:vAlign w:val="center"/>
            <w:hideMark/>
          </w:tcPr>
          <w:p w14:paraId="6DAED84C" w14:textId="77777777" w:rsidR="000F3658" w:rsidRPr="000F3658" w:rsidRDefault="000F3658" w:rsidP="000F3658">
            <w:pPr>
              <w:spacing w:before="150" w:after="150"/>
              <w:jc w:val="right"/>
              <w:rPr>
                <w:color w:val="222222"/>
              </w:rPr>
            </w:pPr>
            <w:r w:rsidRPr="000F3658">
              <w:rPr>
                <w:color w:val="222222"/>
              </w:rPr>
              <w:t>1.5</w:t>
            </w:r>
          </w:p>
        </w:tc>
      </w:tr>
      <w:tr w:rsidR="000F3658" w:rsidRPr="000F3658" w14:paraId="2A525817" w14:textId="77777777" w:rsidTr="000F3658">
        <w:trPr>
          <w:trHeight w:hRule="exact" w:val="504"/>
        </w:trPr>
        <w:tc>
          <w:tcPr>
            <w:tcW w:w="697" w:type="pct"/>
            <w:shd w:val="clear" w:color="auto" w:fill="auto"/>
            <w:tcMar>
              <w:top w:w="0" w:type="dxa"/>
              <w:left w:w="75" w:type="dxa"/>
              <w:bottom w:w="0" w:type="dxa"/>
              <w:right w:w="75" w:type="dxa"/>
            </w:tcMar>
            <w:vAlign w:val="center"/>
            <w:hideMark/>
          </w:tcPr>
          <w:p w14:paraId="6B4BE565" w14:textId="77777777" w:rsidR="000F3658" w:rsidRPr="000F3658" w:rsidRDefault="000F3658" w:rsidP="000F3658">
            <w:pPr>
              <w:spacing w:before="150" w:after="150"/>
              <w:jc w:val="right"/>
              <w:rPr>
                <w:color w:val="222222"/>
              </w:rPr>
            </w:pPr>
            <w:r w:rsidRPr="000F3658">
              <w:rPr>
                <w:color w:val="222222"/>
              </w:rPr>
              <w:t>2011</w:t>
            </w:r>
          </w:p>
        </w:tc>
        <w:tc>
          <w:tcPr>
            <w:tcW w:w="733" w:type="pct"/>
            <w:shd w:val="clear" w:color="auto" w:fill="auto"/>
            <w:tcMar>
              <w:top w:w="0" w:type="dxa"/>
              <w:left w:w="75" w:type="dxa"/>
              <w:bottom w:w="0" w:type="dxa"/>
              <w:right w:w="75" w:type="dxa"/>
            </w:tcMar>
            <w:vAlign w:val="center"/>
            <w:hideMark/>
          </w:tcPr>
          <w:p w14:paraId="59AC5444" w14:textId="77777777" w:rsidR="000F3658" w:rsidRPr="000F3658" w:rsidRDefault="000F3658" w:rsidP="000F3658">
            <w:pPr>
              <w:spacing w:before="150" w:after="150"/>
              <w:jc w:val="right"/>
              <w:rPr>
                <w:color w:val="222222"/>
              </w:rPr>
            </w:pPr>
            <w:r w:rsidRPr="000F3658">
              <w:rPr>
                <w:color w:val="222222"/>
              </w:rPr>
              <w:t>9.4</w:t>
            </w:r>
          </w:p>
        </w:tc>
        <w:tc>
          <w:tcPr>
            <w:tcW w:w="1753" w:type="pct"/>
            <w:shd w:val="clear" w:color="auto" w:fill="auto"/>
            <w:tcMar>
              <w:top w:w="0" w:type="dxa"/>
              <w:left w:w="75" w:type="dxa"/>
              <w:bottom w:w="0" w:type="dxa"/>
              <w:right w:w="75" w:type="dxa"/>
            </w:tcMar>
            <w:vAlign w:val="center"/>
            <w:hideMark/>
          </w:tcPr>
          <w:p w14:paraId="4329A937" w14:textId="77777777" w:rsidR="000F3658" w:rsidRPr="000F3658" w:rsidRDefault="000F3658" w:rsidP="000F3658">
            <w:pPr>
              <w:spacing w:before="150" w:after="150"/>
              <w:jc w:val="right"/>
              <w:rPr>
                <w:color w:val="222222"/>
              </w:rPr>
            </w:pPr>
            <w:r w:rsidRPr="000F3658">
              <w:rPr>
                <w:color w:val="222222"/>
              </w:rPr>
              <w:t>8.0</w:t>
            </w:r>
          </w:p>
        </w:tc>
        <w:tc>
          <w:tcPr>
            <w:tcW w:w="1817" w:type="pct"/>
            <w:shd w:val="clear" w:color="auto" w:fill="auto"/>
            <w:tcMar>
              <w:top w:w="0" w:type="dxa"/>
              <w:left w:w="75" w:type="dxa"/>
              <w:bottom w:w="0" w:type="dxa"/>
              <w:right w:w="75" w:type="dxa"/>
            </w:tcMar>
            <w:vAlign w:val="center"/>
            <w:hideMark/>
          </w:tcPr>
          <w:p w14:paraId="304D8E21" w14:textId="77777777" w:rsidR="000F3658" w:rsidRPr="000F3658" w:rsidRDefault="000F3658" w:rsidP="000F3658">
            <w:pPr>
              <w:spacing w:before="150" w:after="150"/>
              <w:jc w:val="right"/>
              <w:rPr>
                <w:color w:val="222222"/>
              </w:rPr>
            </w:pPr>
            <w:r w:rsidRPr="000F3658">
              <w:rPr>
                <w:color w:val="222222"/>
              </w:rPr>
              <w:t>1.4</w:t>
            </w:r>
          </w:p>
        </w:tc>
      </w:tr>
      <w:tr w:rsidR="000F3658" w:rsidRPr="000F3658" w14:paraId="19A23C83" w14:textId="77777777" w:rsidTr="000F3658">
        <w:trPr>
          <w:trHeight w:hRule="exact" w:val="504"/>
        </w:trPr>
        <w:tc>
          <w:tcPr>
            <w:tcW w:w="697" w:type="pct"/>
            <w:shd w:val="clear" w:color="auto" w:fill="F5F5F5"/>
            <w:tcMar>
              <w:top w:w="0" w:type="dxa"/>
              <w:left w:w="75" w:type="dxa"/>
              <w:bottom w:w="0" w:type="dxa"/>
              <w:right w:w="75" w:type="dxa"/>
            </w:tcMar>
            <w:vAlign w:val="center"/>
            <w:hideMark/>
          </w:tcPr>
          <w:p w14:paraId="340A2480" w14:textId="77777777" w:rsidR="000F3658" w:rsidRPr="000F3658" w:rsidRDefault="000F3658" w:rsidP="000F3658">
            <w:pPr>
              <w:spacing w:before="150" w:after="150"/>
              <w:jc w:val="right"/>
              <w:rPr>
                <w:color w:val="222222"/>
              </w:rPr>
            </w:pPr>
            <w:r w:rsidRPr="000F3658">
              <w:rPr>
                <w:color w:val="222222"/>
              </w:rPr>
              <w:t>2012</w:t>
            </w:r>
          </w:p>
        </w:tc>
        <w:tc>
          <w:tcPr>
            <w:tcW w:w="733" w:type="pct"/>
            <w:shd w:val="clear" w:color="auto" w:fill="F5F5F5"/>
            <w:tcMar>
              <w:top w:w="0" w:type="dxa"/>
              <w:left w:w="75" w:type="dxa"/>
              <w:bottom w:w="0" w:type="dxa"/>
              <w:right w:w="75" w:type="dxa"/>
            </w:tcMar>
            <w:vAlign w:val="center"/>
            <w:hideMark/>
          </w:tcPr>
          <w:p w14:paraId="04271A8B" w14:textId="77777777" w:rsidR="000F3658" w:rsidRPr="000F3658" w:rsidRDefault="000F3658" w:rsidP="000F3658">
            <w:pPr>
              <w:spacing w:before="150" w:after="150"/>
              <w:jc w:val="right"/>
              <w:rPr>
                <w:color w:val="222222"/>
              </w:rPr>
            </w:pPr>
            <w:r w:rsidRPr="000F3658">
              <w:rPr>
                <w:color w:val="222222"/>
              </w:rPr>
              <w:t>13.4</w:t>
            </w:r>
          </w:p>
        </w:tc>
        <w:tc>
          <w:tcPr>
            <w:tcW w:w="1753" w:type="pct"/>
            <w:shd w:val="clear" w:color="auto" w:fill="F5F5F5"/>
            <w:tcMar>
              <w:top w:w="0" w:type="dxa"/>
              <w:left w:w="75" w:type="dxa"/>
              <w:bottom w:w="0" w:type="dxa"/>
              <w:right w:w="75" w:type="dxa"/>
            </w:tcMar>
            <w:vAlign w:val="center"/>
            <w:hideMark/>
          </w:tcPr>
          <w:p w14:paraId="6B320A61" w14:textId="77777777" w:rsidR="000F3658" w:rsidRPr="000F3658" w:rsidRDefault="000F3658" w:rsidP="000F3658">
            <w:pPr>
              <w:spacing w:before="150" w:after="150"/>
              <w:jc w:val="right"/>
              <w:rPr>
                <w:color w:val="222222"/>
              </w:rPr>
            </w:pPr>
            <w:r w:rsidRPr="000F3658">
              <w:rPr>
                <w:color w:val="222222"/>
              </w:rPr>
              <w:t>11.1</w:t>
            </w:r>
          </w:p>
        </w:tc>
        <w:tc>
          <w:tcPr>
            <w:tcW w:w="1817" w:type="pct"/>
            <w:shd w:val="clear" w:color="auto" w:fill="F5F5F5"/>
            <w:tcMar>
              <w:top w:w="0" w:type="dxa"/>
              <w:left w:w="75" w:type="dxa"/>
              <w:bottom w:w="0" w:type="dxa"/>
              <w:right w:w="75" w:type="dxa"/>
            </w:tcMar>
            <w:vAlign w:val="center"/>
            <w:hideMark/>
          </w:tcPr>
          <w:p w14:paraId="79C51ACE" w14:textId="77777777" w:rsidR="000F3658" w:rsidRPr="000F3658" w:rsidRDefault="000F3658" w:rsidP="000F3658">
            <w:pPr>
              <w:spacing w:before="150" w:after="150"/>
              <w:jc w:val="right"/>
              <w:rPr>
                <w:color w:val="222222"/>
              </w:rPr>
            </w:pPr>
            <w:r w:rsidRPr="000F3658">
              <w:rPr>
                <w:color w:val="222222"/>
              </w:rPr>
              <w:t>2.3</w:t>
            </w:r>
          </w:p>
        </w:tc>
      </w:tr>
      <w:tr w:rsidR="000F3658" w:rsidRPr="000F3658" w14:paraId="74206E22" w14:textId="77777777" w:rsidTr="000F3658">
        <w:trPr>
          <w:trHeight w:hRule="exact" w:val="504"/>
        </w:trPr>
        <w:tc>
          <w:tcPr>
            <w:tcW w:w="697" w:type="pct"/>
            <w:shd w:val="clear" w:color="auto" w:fill="auto"/>
            <w:tcMar>
              <w:top w:w="0" w:type="dxa"/>
              <w:left w:w="75" w:type="dxa"/>
              <w:bottom w:w="0" w:type="dxa"/>
              <w:right w:w="75" w:type="dxa"/>
            </w:tcMar>
            <w:vAlign w:val="center"/>
            <w:hideMark/>
          </w:tcPr>
          <w:p w14:paraId="7FF821D0" w14:textId="77777777" w:rsidR="000F3658" w:rsidRPr="000F3658" w:rsidRDefault="000F3658" w:rsidP="000F3658">
            <w:pPr>
              <w:spacing w:before="150" w:after="150"/>
              <w:jc w:val="right"/>
              <w:rPr>
                <w:color w:val="222222"/>
              </w:rPr>
            </w:pPr>
            <w:r w:rsidRPr="000F3658">
              <w:rPr>
                <w:color w:val="222222"/>
              </w:rPr>
              <w:t>2013</w:t>
            </w:r>
          </w:p>
        </w:tc>
        <w:tc>
          <w:tcPr>
            <w:tcW w:w="733" w:type="pct"/>
            <w:shd w:val="clear" w:color="auto" w:fill="auto"/>
            <w:tcMar>
              <w:top w:w="0" w:type="dxa"/>
              <w:left w:w="75" w:type="dxa"/>
              <w:bottom w:w="0" w:type="dxa"/>
              <w:right w:w="75" w:type="dxa"/>
            </w:tcMar>
            <w:vAlign w:val="center"/>
            <w:hideMark/>
          </w:tcPr>
          <w:p w14:paraId="6D36198D" w14:textId="77777777" w:rsidR="000F3658" w:rsidRPr="000F3658" w:rsidRDefault="000F3658" w:rsidP="000F3658">
            <w:pPr>
              <w:spacing w:before="150" w:after="150"/>
              <w:jc w:val="right"/>
              <w:rPr>
                <w:color w:val="222222"/>
              </w:rPr>
            </w:pPr>
            <w:r w:rsidRPr="000F3658">
              <w:rPr>
                <w:color w:val="222222"/>
              </w:rPr>
              <w:t>9.9</w:t>
            </w:r>
          </w:p>
        </w:tc>
        <w:tc>
          <w:tcPr>
            <w:tcW w:w="1753" w:type="pct"/>
            <w:shd w:val="clear" w:color="auto" w:fill="auto"/>
            <w:tcMar>
              <w:top w:w="0" w:type="dxa"/>
              <w:left w:w="75" w:type="dxa"/>
              <w:bottom w:w="0" w:type="dxa"/>
              <w:right w:w="75" w:type="dxa"/>
            </w:tcMar>
            <w:vAlign w:val="center"/>
            <w:hideMark/>
          </w:tcPr>
          <w:p w14:paraId="4F7F3321" w14:textId="77777777" w:rsidR="000F3658" w:rsidRPr="000F3658" w:rsidRDefault="000F3658" w:rsidP="000F3658">
            <w:pPr>
              <w:spacing w:before="150" w:after="150"/>
              <w:jc w:val="right"/>
              <w:rPr>
                <w:color w:val="222222"/>
              </w:rPr>
            </w:pPr>
            <w:r w:rsidRPr="000F3658">
              <w:rPr>
                <w:color w:val="222222"/>
              </w:rPr>
              <w:t>7.8</w:t>
            </w:r>
          </w:p>
        </w:tc>
        <w:tc>
          <w:tcPr>
            <w:tcW w:w="1817" w:type="pct"/>
            <w:shd w:val="clear" w:color="auto" w:fill="auto"/>
            <w:tcMar>
              <w:top w:w="0" w:type="dxa"/>
              <w:left w:w="75" w:type="dxa"/>
              <w:bottom w:w="0" w:type="dxa"/>
              <w:right w:w="75" w:type="dxa"/>
            </w:tcMar>
            <w:vAlign w:val="center"/>
            <w:hideMark/>
          </w:tcPr>
          <w:p w14:paraId="5DD94B09" w14:textId="77777777" w:rsidR="000F3658" w:rsidRPr="000F3658" w:rsidRDefault="000F3658" w:rsidP="000F3658">
            <w:pPr>
              <w:spacing w:before="150" w:after="150"/>
              <w:jc w:val="right"/>
              <w:rPr>
                <w:color w:val="222222"/>
              </w:rPr>
            </w:pPr>
            <w:r w:rsidRPr="000F3658">
              <w:rPr>
                <w:color w:val="222222"/>
              </w:rPr>
              <w:t>2.1</w:t>
            </w:r>
          </w:p>
        </w:tc>
      </w:tr>
      <w:tr w:rsidR="000F3658" w:rsidRPr="000F3658" w14:paraId="645A9F16" w14:textId="77777777" w:rsidTr="000F3658">
        <w:trPr>
          <w:trHeight w:hRule="exact" w:val="504"/>
        </w:trPr>
        <w:tc>
          <w:tcPr>
            <w:tcW w:w="697" w:type="pct"/>
            <w:shd w:val="clear" w:color="auto" w:fill="F5F5F5"/>
            <w:tcMar>
              <w:top w:w="0" w:type="dxa"/>
              <w:left w:w="75" w:type="dxa"/>
              <w:bottom w:w="0" w:type="dxa"/>
              <w:right w:w="75" w:type="dxa"/>
            </w:tcMar>
            <w:vAlign w:val="center"/>
            <w:hideMark/>
          </w:tcPr>
          <w:p w14:paraId="1B2E14B3" w14:textId="77777777" w:rsidR="000F3658" w:rsidRPr="000F3658" w:rsidRDefault="000F3658" w:rsidP="000F3658">
            <w:pPr>
              <w:spacing w:before="150" w:after="150"/>
              <w:jc w:val="right"/>
              <w:rPr>
                <w:color w:val="222222"/>
              </w:rPr>
            </w:pPr>
            <w:r w:rsidRPr="000F3658">
              <w:rPr>
                <w:color w:val="222222"/>
              </w:rPr>
              <w:t>2014</w:t>
            </w:r>
          </w:p>
        </w:tc>
        <w:tc>
          <w:tcPr>
            <w:tcW w:w="733" w:type="pct"/>
            <w:shd w:val="clear" w:color="auto" w:fill="F5F5F5"/>
            <w:tcMar>
              <w:top w:w="0" w:type="dxa"/>
              <w:left w:w="75" w:type="dxa"/>
              <w:bottom w:w="0" w:type="dxa"/>
              <w:right w:w="75" w:type="dxa"/>
            </w:tcMar>
            <w:vAlign w:val="center"/>
            <w:hideMark/>
          </w:tcPr>
          <w:p w14:paraId="51DCE4BA" w14:textId="77777777" w:rsidR="000F3658" w:rsidRPr="000F3658" w:rsidRDefault="000F3658" w:rsidP="000F3658">
            <w:pPr>
              <w:spacing w:before="150" w:after="150"/>
              <w:jc w:val="right"/>
              <w:rPr>
                <w:color w:val="222222"/>
              </w:rPr>
            </w:pPr>
            <w:r w:rsidRPr="000F3658">
              <w:rPr>
                <w:color w:val="222222"/>
              </w:rPr>
              <w:t>1.9</w:t>
            </w:r>
          </w:p>
        </w:tc>
        <w:tc>
          <w:tcPr>
            <w:tcW w:w="1753" w:type="pct"/>
            <w:shd w:val="clear" w:color="auto" w:fill="F5F5F5"/>
            <w:tcMar>
              <w:top w:w="0" w:type="dxa"/>
              <w:left w:w="75" w:type="dxa"/>
              <w:bottom w:w="0" w:type="dxa"/>
              <w:right w:w="75" w:type="dxa"/>
            </w:tcMar>
            <w:vAlign w:val="center"/>
            <w:hideMark/>
          </w:tcPr>
          <w:p w14:paraId="223F9B46" w14:textId="77777777" w:rsidR="000F3658" w:rsidRPr="000F3658" w:rsidRDefault="000F3658" w:rsidP="000F3658">
            <w:pPr>
              <w:spacing w:before="150" w:after="150"/>
              <w:jc w:val="right"/>
              <w:rPr>
                <w:color w:val="222222"/>
              </w:rPr>
            </w:pPr>
            <w:r w:rsidRPr="000F3658">
              <w:rPr>
                <w:color w:val="222222"/>
              </w:rPr>
              <w:t>1.1</w:t>
            </w:r>
          </w:p>
        </w:tc>
        <w:tc>
          <w:tcPr>
            <w:tcW w:w="1817" w:type="pct"/>
            <w:shd w:val="clear" w:color="auto" w:fill="F5F5F5"/>
            <w:tcMar>
              <w:top w:w="0" w:type="dxa"/>
              <w:left w:w="75" w:type="dxa"/>
              <w:bottom w:w="0" w:type="dxa"/>
              <w:right w:w="75" w:type="dxa"/>
            </w:tcMar>
            <w:vAlign w:val="center"/>
            <w:hideMark/>
          </w:tcPr>
          <w:p w14:paraId="7D348EE3" w14:textId="77777777" w:rsidR="000F3658" w:rsidRPr="000F3658" w:rsidRDefault="000F3658" w:rsidP="000F3658">
            <w:pPr>
              <w:spacing w:before="150" w:after="150"/>
              <w:jc w:val="right"/>
              <w:rPr>
                <w:color w:val="222222"/>
              </w:rPr>
            </w:pPr>
            <w:r w:rsidRPr="000F3658">
              <w:rPr>
                <w:color w:val="222222"/>
              </w:rPr>
              <w:t>0.8</w:t>
            </w:r>
          </w:p>
        </w:tc>
      </w:tr>
      <w:tr w:rsidR="000F3658" w:rsidRPr="000F3658" w14:paraId="16DFD389" w14:textId="77777777" w:rsidTr="000F3658">
        <w:trPr>
          <w:trHeight w:hRule="exact" w:val="504"/>
        </w:trPr>
        <w:tc>
          <w:tcPr>
            <w:tcW w:w="697" w:type="pct"/>
            <w:shd w:val="clear" w:color="auto" w:fill="auto"/>
            <w:tcMar>
              <w:top w:w="0" w:type="dxa"/>
              <w:left w:w="75" w:type="dxa"/>
              <w:bottom w:w="0" w:type="dxa"/>
              <w:right w:w="75" w:type="dxa"/>
            </w:tcMar>
            <w:vAlign w:val="center"/>
            <w:hideMark/>
          </w:tcPr>
          <w:p w14:paraId="0395FC51" w14:textId="77777777" w:rsidR="000F3658" w:rsidRPr="000F3658" w:rsidRDefault="000F3658" w:rsidP="000F3658">
            <w:pPr>
              <w:spacing w:before="150" w:after="150"/>
              <w:jc w:val="right"/>
              <w:rPr>
                <w:color w:val="222222"/>
              </w:rPr>
            </w:pPr>
            <w:r w:rsidRPr="000F3658">
              <w:rPr>
                <w:color w:val="222222"/>
              </w:rPr>
              <w:t>2015</w:t>
            </w:r>
          </w:p>
        </w:tc>
        <w:tc>
          <w:tcPr>
            <w:tcW w:w="733" w:type="pct"/>
            <w:shd w:val="clear" w:color="auto" w:fill="auto"/>
            <w:tcMar>
              <w:top w:w="0" w:type="dxa"/>
              <w:left w:w="75" w:type="dxa"/>
              <w:bottom w:w="0" w:type="dxa"/>
              <w:right w:w="75" w:type="dxa"/>
            </w:tcMar>
            <w:vAlign w:val="center"/>
            <w:hideMark/>
          </w:tcPr>
          <w:p w14:paraId="2BFD636D" w14:textId="77777777" w:rsidR="000F3658" w:rsidRPr="000F3658" w:rsidRDefault="000F3658" w:rsidP="000F3658">
            <w:pPr>
              <w:spacing w:before="150" w:after="150"/>
              <w:jc w:val="right"/>
              <w:rPr>
                <w:color w:val="222222"/>
              </w:rPr>
            </w:pPr>
            <w:r w:rsidRPr="000F3658">
              <w:rPr>
                <w:color w:val="222222"/>
              </w:rPr>
              <w:t>0.7</w:t>
            </w:r>
          </w:p>
        </w:tc>
        <w:tc>
          <w:tcPr>
            <w:tcW w:w="1753" w:type="pct"/>
            <w:shd w:val="clear" w:color="auto" w:fill="auto"/>
            <w:tcMar>
              <w:top w:w="0" w:type="dxa"/>
              <w:left w:w="75" w:type="dxa"/>
              <w:bottom w:w="0" w:type="dxa"/>
              <w:right w:w="75" w:type="dxa"/>
            </w:tcMar>
            <w:vAlign w:val="center"/>
            <w:hideMark/>
          </w:tcPr>
          <w:p w14:paraId="32DC28B0" w14:textId="77777777" w:rsidR="000F3658" w:rsidRPr="000F3658" w:rsidRDefault="000F3658" w:rsidP="000F3658">
            <w:pPr>
              <w:spacing w:before="150" w:after="150"/>
              <w:jc w:val="right"/>
              <w:rPr>
                <w:color w:val="222222"/>
              </w:rPr>
            </w:pPr>
            <w:r w:rsidRPr="000F3658">
              <w:rPr>
                <w:color w:val="222222"/>
              </w:rPr>
              <w:t>0.3</w:t>
            </w:r>
          </w:p>
        </w:tc>
        <w:tc>
          <w:tcPr>
            <w:tcW w:w="1817" w:type="pct"/>
            <w:shd w:val="clear" w:color="auto" w:fill="auto"/>
            <w:tcMar>
              <w:top w:w="0" w:type="dxa"/>
              <w:left w:w="75" w:type="dxa"/>
              <w:bottom w:w="0" w:type="dxa"/>
              <w:right w:w="75" w:type="dxa"/>
            </w:tcMar>
            <w:vAlign w:val="center"/>
            <w:hideMark/>
          </w:tcPr>
          <w:p w14:paraId="4311A47B" w14:textId="77777777" w:rsidR="000F3658" w:rsidRPr="000F3658" w:rsidRDefault="000F3658" w:rsidP="000F3658">
            <w:pPr>
              <w:spacing w:before="150" w:after="150"/>
              <w:jc w:val="right"/>
              <w:rPr>
                <w:color w:val="222222"/>
              </w:rPr>
            </w:pPr>
            <w:r w:rsidRPr="000F3658">
              <w:rPr>
                <w:color w:val="222222"/>
              </w:rPr>
              <w:t>0.4</w:t>
            </w:r>
          </w:p>
        </w:tc>
      </w:tr>
      <w:tr w:rsidR="000F3658" w:rsidRPr="000F3658" w14:paraId="69B22849" w14:textId="77777777" w:rsidTr="000F3658">
        <w:trPr>
          <w:trHeight w:hRule="exact" w:val="504"/>
        </w:trPr>
        <w:tc>
          <w:tcPr>
            <w:tcW w:w="697" w:type="pct"/>
            <w:shd w:val="clear" w:color="auto" w:fill="F5F5F5"/>
            <w:tcMar>
              <w:top w:w="0" w:type="dxa"/>
              <w:left w:w="75" w:type="dxa"/>
              <w:bottom w:w="0" w:type="dxa"/>
              <w:right w:w="75" w:type="dxa"/>
            </w:tcMar>
            <w:vAlign w:val="center"/>
            <w:hideMark/>
          </w:tcPr>
          <w:p w14:paraId="23C2E1DF" w14:textId="77777777" w:rsidR="000F3658" w:rsidRPr="000F3658" w:rsidRDefault="000F3658" w:rsidP="000F3658">
            <w:pPr>
              <w:spacing w:before="150" w:after="150"/>
              <w:jc w:val="right"/>
              <w:rPr>
                <w:color w:val="222222"/>
              </w:rPr>
            </w:pPr>
            <w:r w:rsidRPr="000F3658">
              <w:rPr>
                <w:color w:val="222222"/>
              </w:rPr>
              <w:t>2016</w:t>
            </w:r>
          </w:p>
        </w:tc>
        <w:tc>
          <w:tcPr>
            <w:tcW w:w="733" w:type="pct"/>
            <w:shd w:val="clear" w:color="auto" w:fill="F5F5F5"/>
            <w:tcMar>
              <w:top w:w="0" w:type="dxa"/>
              <w:left w:w="75" w:type="dxa"/>
              <w:bottom w:w="0" w:type="dxa"/>
              <w:right w:w="75" w:type="dxa"/>
            </w:tcMar>
            <w:vAlign w:val="center"/>
            <w:hideMark/>
          </w:tcPr>
          <w:p w14:paraId="065FFD36" w14:textId="77777777" w:rsidR="000F3658" w:rsidRPr="000F3658" w:rsidRDefault="000F3658" w:rsidP="000F3658">
            <w:pPr>
              <w:spacing w:before="150" w:after="150"/>
              <w:jc w:val="right"/>
              <w:rPr>
                <w:color w:val="222222"/>
              </w:rPr>
            </w:pPr>
            <w:r w:rsidRPr="000F3658">
              <w:rPr>
                <w:color w:val="222222"/>
              </w:rPr>
              <w:t>1.1</w:t>
            </w:r>
          </w:p>
        </w:tc>
        <w:tc>
          <w:tcPr>
            <w:tcW w:w="1753" w:type="pct"/>
            <w:shd w:val="clear" w:color="auto" w:fill="F5F5F5"/>
            <w:tcMar>
              <w:top w:w="0" w:type="dxa"/>
              <w:left w:w="75" w:type="dxa"/>
              <w:bottom w:w="0" w:type="dxa"/>
              <w:right w:w="75" w:type="dxa"/>
            </w:tcMar>
            <w:vAlign w:val="center"/>
            <w:hideMark/>
          </w:tcPr>
          <w:p w14:paraId="2B81A1E3" w14:textId="77777777" w:rsidR="000F3658" w:rsidRPr="000F3658" w:rsidRDefault="000F3658" w:rsidP="000F3658">
            <w:pPr>
              <w:spacing w:before="150" w:after="150"/>
              <w:jc w:val="right"/>
              <w:rPr>
                <w:color w:val="222222"/>
              </w:rPr>
            </w:pPr>
            <w:r w:rsidRPr="000F3658">
              <w:rPr>
                <w:color w:val="222222"/>
              </w:rPr>
              <w:t>0.7</w:t>
            </w:r>
          </w:p>
        </w:tc>
        <w:tc>
          <w:tcPr>
            <w:tcW w:w="1817" w:type="pct"/>
            <w:shd w:val="clear" w:color="auto" w:fill="F5F5F5"/>
            <w:tcMar>
              <w:top w:w="0" w:type="dxa"/>
              <w:left w:w="75" w:type="dxa"/>
              <w:bottom w:w="0" w:type="dxa"/>
              <w:right w:w="75" w:type="dxa"/>
            </w:tcMar>
            <w:vAlign w:val="center"/>
            <w:hideMark/>
          </w:tcPr>
          <w:p w14:paraId="272C4DD2" w14:textId="77777777" w:rsidR="000F3658" w:rsidRPr="000F3658" w:rsidRDefault="000F3658" w:rsidP="000F3658">
            <w:pPr>
              <w:spacing w:before="150" w:after="150"/>
              <w:jc w:val="right"/>
              <w:rPr>
                <w:color w:val="222222"/>
              </w:rPr>
            </w:pPr>
            <w:r w:rsidRPr="000F3658">
              <w:rPr>
                <w:color w:val="222222"/>
              </w:rPr>
              <w:t>0.4</w:t>
            </w:r>
          </w:p>
        </w:tc>
      </w:tr>
      <w:tr w:rsidR="000F3658" w:rsidRPr="000F3658" w14:paraId="16463710" w14:textId="77777777" w:rsidTr="000F3658">
        <w:trPr>
          <w:trHeight w:hRule="exact" w:val="504"/>
        </w:trPr>
        <w:tc>
          <w:tcPr>
            <w:tcW w:w="697" w:type="pct"/>
            <w:shd w:val="clear" w:color="auto" w:fill="auto"/>
            <w:tcMar>
              <w:top w:w="0" w:type="dxa"/>
              <w:left w:w="75" w:type="dxa"/>
              <w:bottom w:w="0" w:type="dxa"/>
              <w:right w:w="75" w:type="dxa"/>
            </w:tcMar>
            <w:vAlign w:val="center"/>
            <w:hideMark/>
          </w:tcPr>
          <w:p w14:paraId="72C05ECB" w14:textId="77777777" w:rsidR="000F3658" w:rsidRPr="000F3658" w:rsidRDefault="000F3658" w:rsidP="000F3658">
            <w:pPr>
              <w:spacing w:before="150" w:after="150"/>
              <w:jc w:val="right"/>
              <w:rPr>
                <w:color w:val="222222"/>
              </w:rPr>
            </w:pPr>
            <w:r w:rsidRPr="000F3658">
              <w:rPr>
                <w:color w:val="222222"/>
              </w:rPr>
              <w:t>2017</w:t>
            </w:r>
          </w:p>
        </w:tc>
        <w:tc>
          <w:tcPr>
            <w:tcW w:w="733" w:type="pct"/>
            <w:shd w:val="clear" w:color="auto" w:fill="auto"/>
            <w:tcMar>
              <w:top w:w="0" w:type="dxa"/>
              <w:left w:w="75" w:type="dxa"/>
              <w:bottom w:w="0" w:type="dxa"/>
              <w:right w:w="75" w:type="dxa"/>
            </w:tcMar>
            <w:vAlign w:val="center"/>
            <w:hideMark/>
          </w:tcPr>
          <w:p w14:paraId="59018FA0" w14:textId="77777777" w:rsidR="000F3658" w:rsidRPr="000F3658" w:rsidRDefault="000F3658" w:rsidP="000F3658">
            <w:pPr>
              <w:spacing w:before="150" w:after="150"/>
              <w:jc w:val="right"/>
              <w:rPr>
                <w:color w:val="222222"/>
              </w:rPr>
            </w:pPr>
            <w:r w:rsidRPr="000F3658">
              <w:rPr>
                <w:color w:val="222222"/>
              </w:rPr>
              <w:t>1.7</w:t>
            </w:r>
          </w:p>
        </w:tc>
        <w:tc>
          <w:tcPr>
            <w:tcW w:w="1753" w:type="pct"/>
            <w:shd w:val="clear" w:color="auto" w:fill="auto"/>
            <w:tcMar>
              <w:top w:w="0" w:type="dxa"/>
              <w:left w:w="75" w:type="dxa"/>
              <w:bottom w:w="0" w:type="dxa"/>
              <w:right w:w="75" w:type="dxa"/>
            </w:tcMar>
            <w:vAlign w:val="center"/>
            <w:hideMark/>
          </w:tcPr>
          <w:p w14:paraId="2BEFCCF6" w14:textId="77777777" w:rsidR="000F3658" w:rsidRPr="000F3658" w:rsidRDefault="000F3658" w:rsidP="000F3658">
            <w:pPr>
              <w:spacing w:before="150" w:after="150"/>
              <w:jc w:val="right"/>
              <w:rPr>
                <w:color w:val="222222"/>
              </w:rPr>
            </w:pPr>
            <w:r w:rsidRPr="000F3658">
              <w:rPr>
                <w:color w:val="222222"/>
              </w:rPr>
              <w:t>1.5</w:t>
            </w:r>
          </w:p>
        </w:tc>
        <w:tc>
          <w:tcPr>
            <w:tcW w:w="1817" w:type="pct"/>
            <w:shd w:val="clear" w:color="auto" w:fill="auto"/>
            <w:tcMar>
              <w:top w:w="0" w:type="dxa"/>
              <w:left w:w="75" w:type="dxa"/>
              <w:bottom w:w="0" w:type="dxa"/>
              <w:right w:w="75" w:type="dxa"/>
            </w:tcMar>
            <w:vAlign w:val="center"/>
            <w:hideMark/>
          </w:tcPr>
          <w:p w14:paraId="2996B90F" w14:textId="77777777" w:rsidR="000F3658" w:rsidRPr="000F3658" w:rsidRDefault="000F3658" w:rsidP="000F3658">
            <w:pPr>
              <w:spacing w:before="150" w:after="150"/>
              <w:jc w:val="right"/>
              <w:rPr>
                <w:color w:val="222222"/>
              </w:rPr>
            </w:pPr>
            <w:r w:rsidRPr="000F3658">
              <w:rPr>
                <w:color w:val="222222"/>
              </w:rPr>
              <w:t>0.2</w:t>
            </w:r>
          </w:p>
        </w:tc>
      </w:tr>
      <w:tr w:rsidR="000F3658" w:rsidRPr="000F3658" w14:paraId="7267C283" w14:textId="77777777" w:rsidTr="000F3658">
        <w:trPr>
          <w:trHeight w:hRule="exact" w:val="504"/>
        </w:trPr>
        <w:tc>
          <w:tcPr>
            <w:tcW w:w="697" w:type="pct"/>
            <w:shd w:val="clear" w:color="auto" w:fill="F5F5F5"/>
            <w:tcMar>
              <w:top w:w="0" w:type="dxa"/>
              <w:left w:w="75" w:type="dxa"/>
              <w:bottom w:w="0" w:type="dxa"/>
              <w:right w:w="75" w:type="dxa"/>
            </w:tcMar>
            <w:vAlign w:val="center"/>
            <w:hideMark/>
          </w:tcPr>
          <w:p w14:paraId="1EBB26A6" w14:textId="77777777" w:rsidR="000F3658" w:rsidRPr="000F3658" w:rsidRDefault="000F3658" w:rsidP="000F3658">
            <w:pPr>
              <w:spacing w:before="150" w:after="150"/>
              <w:jc w:val="right"/>
              <w:rPr>
                <w:color w:val="222222"/>
              </w:rPr>
            </w:pPr>
            <w:r w:rsidRPr="000F3658">
              <w:rPr>
                <w:color w:val="222222"/>
              </w:rPr>
              <w:t>2018</w:t>
            </w:r>
          </w:p>
        </w:tc>
        <w:tc>
          <w:tcPr>
            <w:tcW w:w="733" w:type="pct"/>
            <w:shd w:val="clear" w:color="auto" w:fill="F5F5F5"/>
            <w:tcMar>
              <w:top w:w="0" w:type="dxa"/>
              <w:left w:w="75" w:type="dxa"/>
              <w:bottom w:w="0" w:type="dxa"/>
              <w:right w:w="75" w:type="dxa"/>
            </w:tcMar>
            <w:vAlign w:val="center"/>
            <w:hideMark/>
          </w:tcPr>
          <w:p w14:paraId="0CC66CE0" w14:textId="77777777" w:rsidR="000F3658" w:rsidRPr="000F3658" w:rsidRDefault="000F3658" w:rsidP="000F3658">
            <w:pPr>
              <w:spacing w:before="150" w:after="150"/>
              <w:jc w:val="right"/>
              <w:rPr>
                <w:color w:val="222222"/>
              </w:rPr>
            </w:pPr>
            <w:r w:rsidRPr="000F3658">
              <w:rPr>
                <w:color w:val="222222"/>
              </w:rPr>
              <w:t>0.0</w:t>
            </w:r>
          </w:p>
        </w:tc>
        <w:tc>
          <w:tcPr>
            <w:tcW w:w="1753" w:type="pct"/>
            <w:shd w:val="clear" w:color="auto" w:fill="F5F5F5"/>
            <w:tcMar>
              <w:top w:w="0" w:type="dxa"/>
              <w:left w:w="75" w:type="dxa"/>
              <w:bottom w:w="0" w:type="dxa"/>
              <w:right w:w="75" w:type="dxa"/>
            </w:tcMar>
            <w:vAlign w:val="center"/>
            <w:hideMark/>
          </w:tcPr>
          <w:p w14:paraId="334B7430" w14:textId="77777777" w:rsidR="000F3658" w:rsidRPr="000F3658" w:rsidRDefault="000F3658" w:rsidP="000F3658">
            <w:pPr>
              <w:spacing w:before="150" w:after="150"/>
              <w:jc w:val="right"/>
              <w:rPr>
                <w:color w:val="222222"/>
              </w:rPr>
            </w:pPr>
            <w:r w:rsidRPr="000F3658">
              <w:rPr>
                <w:color w:val="222222"/>
              </w:rPr>
              <w:t>NA</w:t>
            </w:r>
          </w:p>
        </w:tc>
        <w:tc>
          <w:tcPr>
            <w:tcW w:w="1817" w:type="pct"/>
            <w:shd w:val="clear" w:color="auto" w:fill="F5F5F5"/>
            <w:tcMar>
              <w:top w:w="0" w:type="dxa"/>
              <w:left w:w="75" w:type="dxa"/>
              <w:bottom w:w="0" w:type="dxa"/>
              <w:right w:w="75" w:type="dxa"/>
            </w:tcMar>
            <w:vAlign w:val="center"/>
            <w:hideMark/>
          </w:tcPr>
          <w:p w14:paraId="70B532B8" w14:textId="77777777" w:rsidR="000F3658" w:rsidRPr="000F3658" w:rsidRDefault="000F3658" w:rsidP="000F3658">
            <w:pPr>
              <w:spacing w:before="150" w:after="150"/>
              <w:jc w:val="right"/>
              <w:rPr>
                <w:color w:val="222222"/>
              </w:rPr>
            </w:pPr>
            <w:r w:rsidRPr="000F3658">
              <w:rPr>
                <w:color w:val="222222"/>
              </w:rPr>
              <w:t>NA</w:t>
            </w:r>
          </w:p>
        </w:tc>
      </w:tr>
      <w:tr w:rsidR="000F3658" w:rsidRPr="000F3658" w14:paraId="28DDED4E" w14:textId="77777777" w:rsidTr="000F3658">
        <w:trPr>
          <w:trHeight w:hRule="exact" w:val="504"/>
        </w:trPr>
        <w:tc>
          <w:tcPr>
            <w:tcW w:w="697" w:type="pct"/>
            <w:shd w:val="clear" w:color="auto" w:fill="auto"/>
            <w:tcMar>
              <w:top w:w="0" w:type="dxa"/>
              <w:left w:w="75" w:type="dxa"/>
              <w:bottom w:w="0" w:type="dxa"/>
              <w:right w:w="75" w:type="dxa"/>
            </w:tcMar>
            <w:vAlign w:val="center"/>
            <w:hideMark/>
          </w:tcPr>
          <w:p w14:paraId="119E1D98" w14:textId="77777777" w:rsidR="000F3658" w:rsidRPr="000F3658" w:rsidRDefault="000F3658" w:rsidP="000F3658">
            <w:pPr>
              <w:spacing w:before="150" w:after="150"/>
              <w:jc w:val="right"/>
              <w:rPr>
                <w:color w:val="222222"/>
              </w:rPr>
            </w:pPr>
            <w:r w:rsidRPr="000F3658">
              <w:rPr>
                <w:color w:val="222222"/>
              </w:rPr>
              <w:t>2019</w:t>
            </w:r>
          </w:p>
        </w:tc>
        <w:tc>
          <w:tcPr>
            <w:tcW w:w="733" w:type="pct"/>
            <w:shd w:val="clear" w:color="auto" w:fill="auto"/>
            <w:tcMar>
              <w:top w:w="0" w:type="dxa"/>
              <w:left w:w="75" w:type="dxa"/>
              <w:bottom w:w="0" w:type="dxa"/>
              <w:right w:w="75" w:type="dxa"/>
            </w:tcMar>
            <w:vAlign w:val="center"/>
            <w:hideMark/>
          </w:tcPr>
          <w:p w14:paraId="79E20963" w14:textId="77777777" w:rsidR="000F3658" w:rsidRPr="000F3658" w:rsidRDefault="000F3658" w:rsidP="000F3658">
            <w:pPr>
              <w:spacing w:before="150" w:after="150"/>
              <w:jc w:val="right"/>
              <w:rPr>
                <w:color w:val="222222"/>
              </w:rPr>
            </w:pPr>
            <w:r w:rsidRPr="000F3658">
              <w:rPr>
                <w:color w:val="222222"/>
              </w:rPr>
              <w:t>0.3</w:t>
            </w:r>
          </w:p>
        </w:tc>
        <w:tc>
          <w:tcPr>
            <w:tcW w:w="1753" w:type="pct"/>
            <w:shd w:val="clear" w:color="auto" w:fill="auto"/>
            <w:tcMar>
              <w:top w:w="0" w:type="dxa"/>
              <w:left w:w="75" w:type="dxa"/>
              <w:bottom w:w="0" w:type="dxa"/>
              <w:right w:w="75" w:type="dxa"/>
            </w:tcMar>
            <w:vAlign w:val="center"/>
            <w:hideMark/>
          </w:tcPr>
          <w:p w14:paraId="6F8F0B81" w14:textId="77777777" w:rsidR="000F3658" w:rsidRPr="000F3658" w:rsidRDefault="000F3658" w:rsidP="000F3658">
            <w:pPr>
              <w:spacing w:before="150" w:after="150"/>
              <w:jc w:val="right"/>
              <w:rPr>
                <w:color w:val="222222"/>
              </w:rPr>
            </w:pPr>
            <w:r w:rsidRPr="000F3658">
              <w:rPr>
                <w:color w:val="222222"/>
              </w:rPr>
              <w:t>0.1</w:t>
            </w:r>
          </w:p>
        </w:tc>
        <w:tc>
          <w:tcPr>
            <w:tcW w:w="1817" w:type="pct"/>
            <w:shd w:val="clear" w:color="auto" w:fill="auto"/>
            <w:tcMar>
              <w:top w:w="0" w:type="dxa"/>
              <w:left w:w="75" w:type="dxa"/>
              <w:bottom w:w="0" w:type="dxa"/>
              <w:right w:w="75" w:type="dxa"/>
            </w:tcMar>
            <w:vAlign w:val="center"/>
            <w:hideMark/>
          </w:tcPr>
          <w:p w14:paraId="5DB94D78" w14:textId="77777777" w:rsidR="000F3658" w:rsidRPr="000F3658" w:rsidRDefault="000F3658" w:rsidP="000F3658">
            <w:pPr>
              <w:spacing w:before="150" w:after="150"/>
              <w:jc w:val="right"/>
              <w:rPr>
                <w:color w:val="222222"/>
              </w:rPr>
            </w:pPr>
            <w:r w:rsidRPr="000F3658">
              <w:rPr>
                <w:color w:val="222222"/>
              </w:rPr>
              <w:t>0.2</w:t>
            </w:r>
          </w:p>
        </w:tc>
      </w:tr>
      <w:tr w:rsidR="000F3658" w:rsidRPr="000F3658" w14:paraId="19534339" w14:textId="77777777" w:rsidTr="000F3658">
        <w:trPr>
          <w:trHeight w:hRule="exact" w:val="504"/>
        </w:trPr>
        <w:tc>
          <w:tcPr>
            <w:tcW w:w="697" w:type="pct"/>
            <w:shd w:val="clear" w:color="auto" w:fill="F5F5F5"/>
            <w:tcMar>
              <w:top w:w="0" w:type="dxa"/>
              <w:left w:w="75" w:type="dxa"/>
              <w:bottom w:w="0" w:type="dxa"/>
              <w:right w:w="75" w:type="dxa"/>
            </w:tcMar>
            <w:vAlign w:val="center"/>
            <w:hideMark/>
          </w:tcPr>
          <w:p w14:paraId="64E594B6" w14:textId="77777777" w:rsidR="000F3658" w:rsidRPr="000F3658" w:rsidRDefault="000F3658" w:rsidP="000F3658">
            <w:pPr>
              <w:spacing w:before="150" w:after="150"/>
              <w:jc w:val="right"/>
              <w:rPr>
                <w:color w:val="222222"/>
              </w:rPr>
            </w:pPr>
            <w:r w:rsidRPr="000F3658">
              <w:rPr>
                <w:color w:val="222222"/>
              </w:rPr>
              <w:t>2021</w:t>
            </w:r>
          </w:p>
        </w:tc>
        <w:tc>
          <w:tcPr>
            <w:tcW w:w="733" w:type="pct"/>
            <w:shd w:val="clear" w:color="auto" w:fill="F5F5F5"/>
            <w:tcMar>
              <w:top w:w="0" w:type="dxa"/>
              <w:left w:w="75" w:type="dxa"/>
              <w:bottom w:w="0" w:type="dxa"/>
              <w:right w:w="75" w:type="dxa"/>
            </w:tcMar>
            <w:vAlign w:val="center"/>
            <w:hideMark/>
          </w:tcPr>
          <w:p w14:paraId="5686FFFA" w14:textId="77777777" w:rsidR="000F3658" w:rsidRPr="000F3658" w:rsidRDefault="000F3658" w:rsidP="000F3658">
            <w:pPr>
              <w:spacing w:before="150" w:after="150"/>
              <w:jc w:val="right"/>
              <w:rPr>
                <w:color w:val="222222"/>
              </w:rPr>
            </w:pPr>
            <w:r w:rsidRPr="000F3658">
              <w:rPr>
                <w:color w:val="222222"/>
              </w:rPr>
              <w:t>0.0</w:t>
            </w:r>
          </w:p>
        </w:tc>
        <w:tc>
          <w:tcPr>
            <w:tcW w:w="1753" w:type="pct"/>
            <w:shd w:val="clear" w:color="auto" w:fill="F5F5F5"/>
            <w:tcMar>
              <w:top w:w="0" w:type="dxa"/>
              <w:left w:w="75" w:type="dxa"/>
              <w:bottom w:w="0" w:type="dxa"/>
              <w:right w:w="75" w:type="dxa"/>
            </w:tcMar>
            <w:vAlign w:val="center"/>
            <w:hideMark/>
          </w:tcPr>
          <w:p w14:paraId="14170F50" w14:textId="77777777" w:rsidR="000F3658" w:rsidRPr="000F3658" w:rsidRDefault="000F3658" w:rsidP="000F3658">
            <w:pPr>
              <w:spacing w:before="150" w:after="150"/>
              <w:jc w:val="right"/>
              <w:rPr>
                <w:color w:val="222222"/>
              </w:rPr>
            </w:pPr>
            <w:r w:rsidRPr="000F3658">
              <w:rPr>
                <w:color w:val="222222"/>
              </w:rPr>
              <w:t>0.0</w:t>
            </w:r>
          </w:p>
        </w:tc>
        <w:tc>
          <w:tcPr>
            <w:tcW w:w="1817" w:type="pct"/>
            <w:shd w:val="clear" w:color="auto" w:fill="F5F5F5"/>
            <w:tcMar>
              <w:top w:w="0" w:type="dxa"/>
              <w:left w:w="75" w:type="dxa"/>
              <w:bottom w:w="0" w:type="dxa"/>
              <w:right w:w="75" w:type="dxa"/>
            </w:tcMar>
            <w:vAlign w:val="center"/>
            <w:hideMark/>
          </w:tcPr>
          <w:p w14:paraId="53B31C58" w14:textId="77777777" w:rsidR="000F3658" w:rsidRPr="000F3658" w:rsidRDefault="000F3658" w:rsidP="000F3658">
            <w:pPr>
              <w:spacing w:before="150" w:after="150"/>
              <w:jc w:val="right"/>
              <w:rPr>
                <w:color w:val="222222"/>
              </w:rPr>
            </w:pPr>
            <w:r w:rsidRPr="000F3658">
              <w:rPr>
                <w:color w:val="222222"/>
              </w:rPr>
              <w:t>0.0</w:t>
            </w:r>
          </w:p>
        </w:tc>
      </w:tr>
    </w:tbl>
    <w:p w14:paraId="75810A84" w14:textId="77777777" w:rsidR="000F3658" w:rsidRDefault="000F3658" w:rsidP="009E3B83"/>
    <w:sectPr w:rsidR="000F3658" w:rsidSect="00FB6C9D">
      <w:headerReference w:type="default" r:id="rId10"/>
      <w:headerReference w:type="first" r:id="rId11"/>
      <w:footerReference w:type="first" r:id="rId12"/>
      <w:type w:val="continuous"/>
      <w:pgSz w:w="12240" w:h="15840" w:code="1"/>
      <w:pgMar w:top="1440" w:right="1440" w:bottom="1267" w:left="1440" w:header="547" w:footer="37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60A7C" w14:textId="77777777" w:rsidR="003254C0" w:rsidRDefault="003254C0">
      <w:r>
        <w:separator/>
      </w:r>
    </w:p>
  </w:endnote>
  <w:endnote w:type="continuationSeparator" w:id="0">
    <w:p w14:paraId="1B41AA47" w14:textId="77777777" w:rsidR="003254C0" w:rsidRDefault="00325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414BC" w14:textId="77777777" w:rsidR="00960AB0" w:rsidRPr="0001461F" w:rsidRDefault="00960AB0" w:rsidP="0013775F">
    <w:pPr>
      <w:pStyle w:val="Footer"/>
      <w:jc w:val="center"/>
      <w:rPr>
        <w:rFonts w:ascii="Monotype Corsiva" w:hAnsi="Monotype Corsiva"/>
        <w:i/>
        <w:sz w:val="36"/>
        <w:szCs w:val="36"/>
      </w:rPr>
    </w:pPr>
    <w:r w:rsidRPr="0001461F">
      <w:rPr>
        <w:rFonts w:ascii="Monotype Corsiva" w:hAnsi="Monotype Corsiva"/>
        <w:i/>
        <w:sz w:val="36"/>
        <w:szCs w:val="36"/>
      </w:rPr>
      <w:t xml:space="preserve">Conserving </w:t>
    </w:r>
    <w:smartTag w:uri="urn:schemas-microsoft-com:office:smarttags" w:element="place">
      <w:smartTag w:uri="urn:schemas-microsoft-com:office:smarttags" w:element="State">
        <w:r w:rsidRPr="0001461F">
          <w:rPr>
            <w:rFonts w:ascii="Monotype Corsiva" w:hAnsi="Monotype Corsiva"/>
            <w:i/>
            <w:sz w:val="36"/>
            <w:szCs w:val="36"/>
          </w:rPr>
          <w:t>California</w:t>
        </w:r>
      </w:smartTag>
    </w:smartTag>
    <w:r w:rsidRPr="0001461F">
      <w:rPr>
        <w:rFonts w:ascii="Monotype Corsiva" w:hAnsi="Monotype Corsiva"/>
        <w:i/>
        <w:sz w:val="36"/>
        <w:szCs w:val="36"/>
      </w:rPr>
      <w:t>’s Wildlife Since 1870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78694" w14:textId="77777777" w:rsidR="003254C0" w:rsidRDefault="003254C0">
      <w:r>
        <w:separator/>
      </w:r>
    </w:p>
  </w:footnote>
  <w:footnote w:type="continuationSeparator" w:id="0">
    <w:p w14:paraId="7D099914" w14:textId="77777777" w:rsidR="003254C0" w:rsidRDefault="003254C0">
      <w:r>
        <w:continuationSeparator/>
      </w:r>
    </w:p>
  </w:footnote>
  <w:footnote w:id="1">
    <w:p w14:paraId="37661F01" w14:textId="61E0A3F2" w:rsidR="00941525" w:rsidRDefault="00941525">
      <w:pPr>
        <w:pStyle w:val="FootnoteText"/>
      </w:pPr>
      <w:r>
        <w:rPr>
          <w:rStyle w:val="FootnoteReference"/>
        </w:rPr>
        <w:footnoteRef/>
      </w:r>
      <w:r>
        <w:t xml:space="preserve"> </w:t>
      </w:r>
      <w:hyperlink r:id="rId1" w:history="1">
        <w:r w:rsidRPr="00B8488E">
          <w:rPr>
            <w:rStyle w:val="Hyperlink"/>
            <w:i/>
          </w:rPr>
          <w:t>https://nrm.dfg.ca.gov/FileHandler.ashx?DocumentID=202704</w:t>
        </w:r>
      </w:hyperlink>
    </w:p>
  </w:footnote>
  <w:footnote w:id="2">
    <w:p w14:paraId="09CE8072" w14:textId="2CEEC5EC" w:rsidR="00941525" w:rsidRDefault="00941525">
      <w:pPr>
        <w:pStyle w:val="FootnoteText"/>
      </w:pPr>
      <w:r>
        <w:rPr>
          <w:rStyle w:val="FootnoteReference"/>
        </w:rPr>
        <w:footnoteRef/>
      </w:r>
      <w:r>
        <w:t xml:space="preserve"> </w:t>
      </w:r>
      <w:hyperlink r:id="rId2" w:history="1">
        <w:r w:rsidRPr="00B8488E">
          <w:rPr>
            <w:rStyle w:val="Hyperlink"/>
            <w:i/>
            <w:iCs/>
          </w:rPr>
          <w:t>https://nrm.dfg.ca.gov/FileHandler.ashx?DocumentID=202706</w:t>
        </w:r>
      </w:hyperlink>
    </w:p>
  </w:footnote>
  <w:footnote w:id="3">
    <w:p w14:paraId="4052C8A7" w14:textId="7FEE2365" w:rsidR="00556E0A" w:rsidRDefault="00556E0A" w:rsidP="00556E0A">
      <w:pPr>
        <w:pStyle w:val="FootnoteText"/>
      </w:pPr>
      <w:r>
        <w:rPr>
          <w:rStyle w:val="FootnoteReference"/>
        </w:rPr>
        <w:footnoteRef/>
      </w:r>
      <w:r>
        <w:t xml:space="preserve"> </w:t>
      </w:r>
      <w:hyperlink r:id="rId3" w:history="1">
        <w:r w:rsidRPr="00941525">
          <w:rPr>
            <w:rStyle w:val="Hyperlink"/>
            <w:i/>
            <w:iCs/>
          </w:rPr>
          <w:t>https://wildlife.ca.gov/Conservation/Delta/20mm-Survey/Bibliography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68A92" w14:textId="77777777" w:rsidR="009F3ECE" w:rsidRDefault="009F3ECE">
    <w:pPr>
      <w:pStyle w:val="Header"/>
    </w:pPr>
  </w:p>
  <w:p w14:paraId="1E0EA775" w14:textId="77777777" w:rsidR="00750C2A" w:rsidRDefault="00E43E5A">
    <w:pPr>
      <w:pStyle w:val="Header"/>
    </w:pPr>
    <w:r>
      <w:t>Name, Title</w:t>
    </w:r>
    <w:r w:rsidR="00750C2A">
      <w:br/>
    </w:r>
    <w:r>
      <w:t>Business</w:t>
    </w:r>
    <w:r w:rsidR="00750C2A">
      <w:br/>
    </w:r>
    <w:r>
      <w:t>Date</w:t>
    </w:r>
  </w:p>
  <w:p w14:paraId="333AF19F" w14:textId="77777777" w:rsidR="00750C2A" w:rsidRDefault="00750C2A">
    <w:pPr>
      <w:pStyle w:val="Head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sidR="007B29ED">
      <w:rPr>
        <w:rStyle w:val="PageNumber"/>
        <w:noProof/>
      </w:rPr>
      <w:t>2</w:t>
    </w:r>
    <w:r>
      <w:rPr>
        <w:rStyle w:val="PageNumber"/>
      </w:rPr>
      <w:fldChar w:fldCharType="end"/>
    </w:r>
  </w:p>
  <w:p w14:paraId="77542A7D" w14:textId="77777777" w:rsidR="00750C2A" w:rsidRDefault="00750C2A">
    <w:pPr>
      <w:pStyle w:val="Header"/>
      <w:rPr>
        <w:rStyle w:val="PageNumber"/>
      </w:rPr>
    </w:pPr>
  </w:p>
  <w:p w14:paraId="72EEF36B" w14:textId="77777777" w:rsidR="00750C2A" w:rsidRDefault="00750C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434F6" w14:textId="77777777" w:rsidR="006B5940" w:rsidRPr="00946AC0" w:rsidRDefault="00042F26" w:rsidP="003A25E0">
    <w:pPr>
      <w:pStyle w:val="Header"/>
      <w:tabs>
        <w:tab w:val="clear" w:pos="8640"/>
        <w:tab w:val="right" w:pos="9259"/>
      </w:tabs>
      <w:rPr>
        <w:rFonts w:eastAsia="Arial Unicode MS"/>
        <w:b/>
        <w:sz w:val="20"/>
        <w:szCs w:val="20"/>
        <w:u w:val="single"/>
      </w:rPr>
    </w:pPr>
    <w:r>
      <w:rPr>
        <w:noProof/>
      </w:rPr>
      <w:object w:dxaOrig="1440" w:dyaOrig="1440" w14:anchorId="43824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56.95pt;margin-top:.35pt;width:49.85pt;height:65.8pt;z-index:251658240">
          <v:imagedata r:id="rId1" o:title=""/>
        </v:shape>
        <o:OLEObject Type="Embed" ProgID="MSPhotoEd.3" ShapeID="_x0000_s1029" DrawAspect="Content" ObjectID="_1721566966" r:id="rId2"/>
      </w:object>
    </w:r>
    <w:r>
      <w:rPr>
        <w:noProof/>
        <w:color w:val="000000"/>
        <w:sz w:val="20"/>
        <w:szCs w:val="20"/>
      </w:rPr>
      <w:object w:dxaOrig="1440" w:dyaOrig="1440" w14:anchorId="7785F20F">
        <v:shape id="_x0000_s1025" type="#_x0000_t75" alt="Official Seal of the State of California " style="position:absolute;margin-left:468pt;margin-top:-9.35pt;width:59.75pt;height:68.3pt;z-index:-251659264">
          <v:imagedata r:id="rId3" o:title=""/>
        </v:shape>
        <o:OLEObject Type="Embed" ProgID="MSPhotoEd.3" ShapeID="_x0000_s1025" DrawAspect="Content" ObjectID="_1721566967" r:id="rId4"/>
      </w:object>
    </w:r>
    <w:r w:rsidR="00591060">
      <w:rPr>
        <w:rFonts w:eastAsia="Arial Unicode MS"/>
        <w:sz w:val="20"/>
        <w:szCs w:val="20"/>
        <w:u w:val="single"/>
      </w:rPr>
      <w:t xml:space="preserve">State of </w:t>
    </w:r>
    <w:r w:rsidR="006B5940">
      <w:rPr>
        <w:rFonts w:eastAsia="Arial Unicode MS"/>
        <w:sz w:val="20"/>
        <w:szCs w:val="20"/>
        <w:u w:val="single"/>
      </w:rPr>
      <w:t>California</w:t>
    </w:r>
    <w:r w:rsidR="00EC61D9">
      <w:rPr>
        <w:rFonts w:eastAsia="Arial Unicode MS"/>
        <w:sz w:val="20"/>
        <w:szCs w:val="20"/>
        <w:u w:val="single"/>
      </w:rPr>
      <w:t xml:space="preserve"> </w:t>
    </w:r>
    <w:r w:rsidR="00D038D1">
      <w:rPr>
        <w:rFonts w:eastAsia="Arial Unicode MS"/>
        <w:sz w:val="20"/>
        <w:szCs w:val="20"/>
        <w:u w:val="single"/>
      </w:rPr>
      <w:t>–</w:t>
    </w:r>
    <w:r w:rsidR="008D5E56">
      <w:rPr>
        <w:rFonts w:eastAsia="Arial Unicode MS"/>
        <w:sz w:val="20"/>
        <w:szCs w:val="20"/>
        <w:u w:val="single"/>
      </w:rPr>
      <w:t xml:space="preserve"> </w:t>
    </w:r>
    <w:r w:rsidR="006B5940" w:rsidRPr="00775EE9">
      <w:rPr>
        <w:rFonts w:eastAsia="Arial Unicode MS"/>
        <w:sz w:val="20"/>
        <w:szCs w:val="20"/>
        <w:u w:val="single"/>
      </w:rPr>
      <w:t>Natural Resources Agency</w:t>
    </w:r>
    <w:r w:rsidR="008776E7">
      <w:rPr>
        <w:rFonts w:eastAsia="Arial Unicode MS"/>
        <w:sz w:val="20"/>
        <w:szCs w:val="20"/>
        <w:u w:val="single"/>
      </w:rPr>
      <w:tab/>
    </w:r>
    <w:r w:rsidR="008776E7">
      <w:rPr>
        <w:rFonts w:eastAsia="Arial Unicode MS"/>
        <w:sz w:val="20"/>
        <w:szCs w:val="20"/>
        <w:u w:val="single"/>
      </w:rPr>
      <w:tab/>
    </w:r>
    <w:r w:rsidR="003D325A">
      <w:rPr>
        <w:rFonts w:eastAsia="Arial Unicode MS"/>
        <w:b/>
        <w:i/>
        <w:caps/>
        <w:sz w:val="18"/>
        <w:szCs w:val="18"/>
        <w:u w:val="single"/>
      </w:rPr>
      <w:t>Gavin Newsom</w:t>
    </w:r>
    <w:r w:rsidR="009F3ECE">
      <w:rPr>
        <w:rFonts w:eastAsia="Arial Unicode MS"/>
        <w:b/>
        <w:i/>
        <w:caps/>
        <w:sz w:val="18"/>
        <w:szCs w:val="18"/>
        <w:u w:val="single"/>
      </w:rPr>
      <w:t>,</w:t>
    </w:r>
    <w:r w:rsidR="006B5940" w:rsidRPr="00775EE9">
      <w:rPr>
        <w:rFonts w:eastAsia="Arial Unicode MS"/>
        <w:sz w:val="20"/>
        <w:szCs w:val="20"/>
        <w:u w:val="single"/>
      </w:rPr>
      <w:t xml:space="preserve"> </w:t>
    </w:r>
    <w:r w:rsidR="006B5940" w:rsidRPr="00946AC0">
      <w:rPr>
        <w:rFonts w:eastAsia="Arial Unicode MS"/>
        <w:b/>
        <w:i/>
        <w:sz w:val="18"/>
        <w:szCs w:val="18"/>
        <w:u w:val="single"/>
      </w:rPr>
      <w:t>Governor</w:t>
    </w:r>
  </w:p>
  <w:p w14:paraId="5D2085DA" w14:textId="77777777" w:rsidR="00FB6C9D" w:rsidRDefault="006B5940" w:rsidP="003A25E0">
    <w:pPr>
      <w:pStyle w:val="Header"/>
      <w:tabs>
        <w:tab w:val="clear" w:pos="8640"/>
        <w:tab w:val="right" w:pos="9259"/>
      </w:tabs>
      <w:rPr>
        <w:color w:val="000000"/>
        <w:sz w:val="20"/>
        <w:szCs w:val="20"/>
      </w:rPr>
    </w:pPr>
    <w:r w:rsidRPr="00C36286">
      <w:rPr>
        <w:rFonts w:eastAsia="Arial Unicode MS"/>
        <w:sz w:val="22"/>
        <w:szCs w:val="22"/>
      </w:rPr>
      <w:t xml:space="preserve">DEPARTMENT OF FISH </w:t>
    </w:r>
    <w:smartTag w:uri="urn:schemas-microsoft-com:office:smarttags" w:element="stockticker">
      <w:r w:rsidRPr="00C36286">
        <w:rPr>
          <w:rFonts w:eastAsia="Arial Unicode MS"/>
          <w:sz w:val="22"/>
          <w:szCs w:val="22"/>
        </w:rPr>
        <w:t>AND</w:t>
      </w:r>
    </w:smartTag>
    <w:r w:rsidRPr="00C36286">
      <w:rPr>
        <w:rFonts w:eastAsia="Arial Unicode MS"/>
        <w:sz w:val="22"/>
        <w:szCs w:val="22"/>
      </w:rPr>
      <w:t xml:space="preserve"> </w:t>
    </w:r>
    <w:r w:rsidR="00A51A51">
      <w:rPr>
        <w:rFonts w:eastAsia="Arial Unicode MS"/>
        <w:sz w:val="22"/>
        <w:szCs w:val="22"/>
      </w:rPr>
      <w:t>WILDLIFE</w:t>
    </w:r>
    <w:r w:rsidR="008776E7">
      <w:rPr>
        <w:rFonts w:eastAsia="Arial Unicode MS"/>
      </w:rPr>
      <w:tab/>
    </w:r>
    <w:r w:rsidR="008776E7">
      <w:rPr>
        <w:rFonts w:eastAsia="Arial Unicode MS"/>
      </w:rPr>
      <w:tab/>
    </w:r>
    <w:r w:rsidR="001E5B00">
      <w:rPr>
        <w:rFonts w:eastAsia="Arial Unicode MS"/>
        <w:b/>
        <w:i/>
        <w:sz w:val="18"/>
        <w:szCs w:val="18"/>
      </w:rPr>
      <w:t>C</w:t>
    </w:r>
    <w:r w:rsidR="00B70AB8">
      <w:rPr>
        <w:rFonts w:eastAsia="Arial Unicode MS"/>
        <w:b/>
        <w:i/>
        <w:sz w:val="18"/>
        <w:szCs w:val="18"/>
      </w:rPr>
      <w:t>HARLTON H. BONHAM</w:t>
    </w:r>
    <w:r w:rsidR="009C6506">
      <w:rPr>
        <w:rFonts w:eastAsia="Arial Unicode MS"/>
        <w:b/>
        <w:i/>
        <w:sz w:val="18"/>
        <w:szCs w:val="18"/>
      </w:rPr>
      <w:t xml:space="preserve">, </w:t>
    </w:r>
    <w:r w:rsidR="004925A5" w:rsidRPr="00333BC2">
      <w:rPr>
        <w:rFonts w:eastAsia="Arial Unicode MS"/>
        <w:b/>
        <w:i/>
        <w:sz w:val="18"/>
        <w:szCs w:val="18"/>
      </w:rPr>
      <w:t xml:space="preserve">Director </w:t>
    </w:r>
    <w:r w:rsidR="00AA23B3">
      <w:rPr>
        <w:rFonts w:eastAsia="Arial Unicode MS"/>
        <w:i/>
        <w:sz w:val="18"/>
        <w:szCs w:val="18"/>
      </w:rPr>
      <w:br/>
    </w:r>
    <w:r w:rsidR="004859AA">
      <w:rPr>
        <w:color w:val="000000"/>
        <w:sz w:val="20"/>
        <w:szCs w:val="20"/>
      </w:rPr>
      <w:t>Director’s Office</w:t>
    </w:r>
  </w:p>
  <w:p w14:paraId="43BBD6C9" w14:textId="77777777" w:rsidR="006B5940" w:rsidRDefault="00BB17A3" w:rsidP="008776E7">
    <w:pPr>
      <w:pStyle w:val="Header"/>
      <w:tabs>
        <w:tab w:val="clear" w:pos="8640"/>
        <w:tab w:val="right" w:pos="9058"/>
      </w:tabs>
      <w:rPr>
        <w:color w:val="000000"/>
        <w:sz w:val="20"/>
        <w:szCs w:val="20"/>
      </w:rPr>
    </w:pPr>
    <w:r>
      <w:rPr>
        <w:color w:val="000000"/>
        <w:sz w:val="20"/>
        <w:szCs w:val="20"/>
      </w:rPr>
      <w:t>P.O. Box 944209</w:t>
    </w:r>
  </w:p>
  <w:p w14:paraId="182BA7A7" w14:textId="77777777" w:rsidR="00FB6C9D" w:rsidRPr="00333BC2" w:rsidRDefault="00FB6C9D" w:rsidP="008776E7">
    <w:pPr>
      <w:pStyle w:val="Header"/>
      <w:tabs>
        <w:tab w:val="clear" w:pos="8640"/>
        <w:tab w:val="right" w:pos="9058"/>
      </w:tabs>
      <w:rPr>
        <w:rFonts w:eastAsia="Arial Unicode MS"/>
        <w:u w:val="single"/>
      </w:rPr>
    </w:pPr>
    <w:r>
      <w:rPr>
        <w:color w:val="000000"/>
        <w:sz w:val="20"/>
        <w:szCs w:val="20"/>
      </w:rPr>
      <w:t xml:space="preserve">Sacramento, CA  </w:t>
    </w:r>
    <w:r w:rsidR="00BB17A3">
      <w:rPr>
        <w:color w:val="000000"/>
        <w:sz w:val="20"/>
        <w:szCs w:val="20"/>
      </w:rPr>
      <w:t>94244-2090</w:t>
    </w:r>
  </w:p>
  <w:p w14:paraId="5DCB61D8" w14:textId="77777777" w:rsidR="00960AB0" w:rsidRPr="00A317D0" w:rsidRDefault="00042F26" w:rsidP="006B5940">
    <w:pPr>
      <w:pStyle w:val="Header"/>
      <w:rPr>
        <w:rFonts w:eastAsia="Arial Unicode MS"/>
        <w:sz w:val="20"/>
        <w:szCs w:val="20"/>
      </w:rPr>
    </w:pPr>
    <w:hyperlink r:id="rId5" w:history="1">
      <w:r w:rsidR="00B17FE2">
        <w:rPr>
          <w:rStyle w:val="Hyperlink"/>
          <w:rFonts w:eastAsia="Arial Unicode MS"/>
          <w:sz w:val="20"/>
          <w:szCs w:val="20"/>
        </w:rPr>
        <w:t>www.wildlife</w:t>
      </w:r>
      <w:r w:rsidR="00065393" w:rsidRPr="00C97EC9">
        <w:rPr>
          <w:rStyle w:val="Hyperlink"/>
          <w:rFonts w:eastAsia="Arial Unicode MS"/>
          <w:sz w:val="20"/>
          <w:szCs w:val="20"/>
        </w:rPr>
        <w:t>.ca.gov</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D564C"/>
    <w:multiLevelType w:val="hybridMultilevel"/>
    <w:tmpl w:val="8C88B87C"/>
    <w:lvl w:ilvl="0" w:tplc="5E204BF0">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 w15:restartNumberingAfterBreak="0">
    <w:nsid w:val="53F46BE1"/>
    <w:multiLevelType w:val="hybridMultilevel"/>
    <w:tmpl w:val="D76E116A"/>
    <w:lvl w:ilvl="0" w:tplc="D2C2DD50">
      <w:start w:val="1"/>
      <w:numFmt w:val="decimal"/>
      <w:lvlText w:val="%1."/>
      <w:lvlJc w:val="left"/>
      <w:pPr>
        <w:tabs>
          <w:tab w:val="num" w:pos="1440"/>
        </w:tabs>
        <w:ind w:left="1440" w:hanging="720"/>
      </w:pPr>
      <w:rPr>
        <w:rFonts w:hint="default"/>
      </w:rPr>
    </w:lvl>
    <w:lvl w:ilvl="1" w:tplc="2D081B0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B472889"/>
    <w:multiLevelType w:val="hybridMultilevel"/>
    <w:tmpl w:val="F956FBEA"/>
    <w:lvl w:ilvl="0" w:tplc="51324E2A">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 w15:restartNumberingAfterBreak="0">
    <w:nsid w:val="7BB774B8"/>
    <w:multiLevelType w:val="hybridMultilevel"/>
    <w:tmpl w:val="2FF09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D45408"/>
    <w:multiLevelType w:val="hybridMultilevel"/>
    <w:tmpl w:val="35B6D89A"/>
    <w:lvl w:ilvl="0" w:tplc="5E204BF0">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num w:numId="1" w16cid:durableId="219949867">
    <w:abstractNumId w:val="0"/>
  </w:num>
  <w:num w:numId="2" w16cid:durableId="926571677">
    <w:abstractNumId w:val="4"/>
  </w:num>
  <w:num w:numId="3" w16cid:durableId="1072003217">
    <w:abstractNumId w:val="2"/>
  </w:num>
  <w:num w:numId="4" w16cid:durableId="1103724322">
    <w:abstractNumId w:val="1"/>
  </w:num>
  <w:num w:numId="5" w16cid:durableId="1095782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39E"/>
    <w:rsid w:val="000042C6"/>
    <w:rsid w:val="0001461F"/>
    <w:rsid w:val="00016633"/>
    <w:rsid w:val="00042F26"/>
    <w:rsid w:val="00043D4E"/>
    <w:rsid w:val="00060695"/>
    <w:rsid w:val="00065393"/>
    <w:rsid w:val="0008032E"/>
    <w:rsid w:val="00092B53"/>
    <w:rsid w:val="000A058B"/>
    <w:rsid w:val="000A72D3"/>
    <w:rsid w:val="000D50F1"/>
    <w:rsid w:val="000F036F"/>
    <w:rsid w:val="000F3658"/>
    <w:rsid w:val="00100B77"/>
    <w:rsid w:val="00111394"/>
    <w:rsid w:val="00117B58"/>
    <w:rsid w:val="00131C88"/>
    <w:rsid w:val="001340FC"/>
    <w:rsid w:val="0013775F"/>
    <w:rsid w:val="00155510"/>
    <w:rsid w:val="00163E63"/>
    <w:rsid w:val="0017477B"/>
    <w:rsid w:val="00182ADA"/>
    <w:rsid w:val="001858E8"/>
    <w:rsid w:val="0019331C"/>
    <w:rsid w:val="00196299"/>
    <w:rsid w:val="001B1D27"/>
    <w:rsid w:val="001B5B66"/>
    <w:rsid w:val="001B7955"/>
    <w:rsid w:val="001C475E"/>
    <w:rsid w:val="001D6751"/>
    <w:rsid w:val="001E441E"/>
    <w:rsid w:val="001E5B00"/>
    <w:rsid w:val="0023269A"/>
    <w:rsid w:val="00234070"/>
    <w:rsid w:val="002403F9"/>
    <w:rsid w:val="00247371"/>
    <w:rsid w:val="00250A98"/>
    <w:rsid w:val="00251E85"/>
    <w:rsid w:val="00263ED3"/>
    <w:rsid w:val="0028369E"/>
    <w:rsid w:val="002842DA"/>
    <w:rsid w:val="00291046"/>
    <w:rsid w:val="0029291B"/>
    <w:rsid w:val="002A5BE6"/>
    <w:rsid w:val="002B1015"/>
    <w:rsid w:val="002B6AE4"/>
    <w:rsid w:val="002C4653"/>
    <w:rsid w:val="002D3F50"/>
    <w:rsid w:val="002D7BA7"/>
    <w:rsid w:val="002E02F9"/>
    <w:rsid w:val="002F139E"/>
    <w:rsid w:val="003032C3"/>
    <w:rsid w:val="00306977"/>
    <w:rsid w:val="00321706"/>
    <w:rsid w:val="003254C0"/>
    <w:rsid w:val="00336FB6"/>
    <w:rsid w:val="00362C33"/>
    <w:rsid w:val="003713F1"/>
    <w:rsid w:val="0038380A"/>
    <w:rsid w:val="00396D75"/>
    <w:rsid w:val="003A25E0"/>
    <w:rsid w:val="003C1E9C"/>
    <w:rsid w:val="003C6DEE"/>
    <w:rsid w:val="003D2F13"/>
    <w:rsid w:val="003D325A"/>
    <w:rsid w:val="003F5577"/>
    <w:rsid w:val="00411AF9"/>
    <w:rsid w:val="00411BE5"/>
    <w:rsid w:val="00420D1B"/>
    <w:rsid w:val="00464119"/>
    <w:rsid w:val="0048068A"/>
    <w:rsid w:val="004859AA"/>
    <w:rsid w:val="004924B1"/>
    <w:rsid w:val="004925A5"/>
    <w:rsid w:val="00497933"/>
    <w:rsid w:val="004A13D6"/>
    <w:rsid w:val="004C3DFA"/>
    <w:rsid w:val="004E7E29"/>
    <w:rsid w:val="00512850"/>
    <w:rsid w:val="00517153"/>
    <w:rsid w:val="005240D4"/>
    <w:rsid w:val="00526BE7"/>
    <w:rsid w:val="00547B26"/>
    <w:rsid w:val="0055041F"/>
    <w:rsid w:val="00553EC6"/>
    <w:rsid w:val="00556E0A"/>
    <w:rsid w:val="005654C3"/>
    <w:rsid w:val="00567F78"/>
    <w:rsid w:val="00591060"/>
    <w:rsid w:val="00595AF5"/>
    <w:rsid w:val="005B079A"/>
    <w:rsid w:val="0061345E"/>
    <w:rsid w:val="0061432F"/>
    <w:rsid w:val="006374C2"/>
    <w:rsid w:val="00666CF2"/>
    <w:rsid w:val="006713C5"/>
    <w:rsid w:val="006A3C7D"/>
    <w:rsid w:val="006B5940"/>
    <w:rsid w:val="006B64E1"/>
    <w:rsid w:val="006C482E"/>
    <w:rsid w:val="006C69D9"/>
    <w:rsid w:val="006D75DC"/>
    <w:rsid w:val="006E3BBF"/>
    <w:rsid w:val="00706503"/>
    <w:rsid w:val="00736F1E"/>
    <w:rsid w:val="0074596E"/>
    <w:rsid w:val="00750609"/>
    <w:rsid w:val="00750C2A"/>
    <w:rsid w:val="0076274F"/>
    <w:rsid w:val="0076629D"/>
    <w:rsid w:val="00767BFA"/>
    <w:rsid w:val="00785110"/>
    <w:rsid w:val="007B29ED"/>
    <w:rsid w:val="007B4B82"/>
    <w:rsid w:val="007E6086"/>
    <w:rsid w:val="00817542"/>
    <w:rsid w:val="00832638"/>
    <w:rsid w:val="00837A48"/>
    <w:rsid w:val="00855781"/>
    <w:rsid w:val="00876CA1"/>
    <w:rsid w:val="008776E7"/>
    <w:rsid w:val="0088538A"/>
    <w:rsid w:val="008B11C5"/>
    <w:rsid w:val="008C3AE7"/>
    <w:rsid w:val="008D5E56"/>
    <w:rsid w:val="008E41E1"/>
    <w:rsid w:val="008F4DD2"/>
    <w:rsid w:val="00912C0D"/>
    <w:rsid w:val="00941525"/>
    <w:rsid w:val="00946AC0"/>
    <w:rsid w:val="00960AB0"/>
    <w:rsid w:val="00974D83"/>
    <w:rsid w:val="009A64D4"/>
    <w:rsid w:val="009C6506"/>
    <w:rsid w:val="009E3B83"/>
    <w:rsid w:val="009E501B"/>
    <w:rsid w:val="009F3ECE"/>
    <w:rsid w:val="009F7B0B"/>
    <w:rsid w:val="00A036A8"/>
    <w:rsid w:val="00A133BD"/>
    <w:rsid w:val="00A15C8F"/>
    <w:rsid w:val="00A317D0"/>
    <w:rsid w:val="00A51A51"/>
    <w:rsid w:val="00A56A01"/>
    <w:rsid w:val="00A577CD"/>
    <w:rsid w:val="00A631D1"/>
    <w:rsid w:val="00A71124"/>
    <w:rsid w:val="00A8173E"/>
    <w:rsid w:val="00A81C8F"/>
    <w:rsid w:val="00A82FD6"/>
    <w:rsid w:val="00AA23B3"/>
    <w:rsid w:val="00AA63DE"/>
    <w:rsid w:val="00AD7F28"/>
    <w:rsid w:val="00AF08DD"/>
    <w:rsid w:val="00AF399D"/>
    <w:rsid w:val="00B17FE2"/>
    <w:rsid w:val="00B23044"/>
    <w:rsid w:val="00B261DF"/>
    <w:rsid w:val="00B30761"/>
    <w:rsid w:val="00B32013"/>
    <w:rsid w:val="00B40397"/>
    <w:rsid w:val="00B6560A"/>
    <w:rsid w:val="00B70AB8"/>
    <w:rsid w:val="00B757E0"/>
    <w:rsid w:val="00B872A4"/>
    <w:rsid w:val="00BA18FB"/>
    <w:rsid w:val="00BA68E4"/>
    <w:rsid w:val="00BB0480"/>
    <w:rsid w:val="00BB17A3"/>
    <w:rsid w:val="00BC1419"/>
    <w:rsid w:val="00BD59DD"/>
    <w:rsid w:val="00BE0F48"/>
    <w:rsid w:val="00BF3A34"/>
    <w:rsid w:val="00BF59E8"/>
    <w:rsid w:val="00C23BBE"/>
    <w:rsid w:val="00C23C62"/>
    <w:rsid w:val="00C36286"/>
    <w:rsid w:val="00C91294"/>
    <w:rsid w:val="00CD1333"/>
    <w:rsid w:val="00CF62AC"/>
    <w:rsid w:val="00D01122"/>
    <w:rsid w:val="00D02F0E"/>
    <w:rsid w:val="00D038D1"/>
    <w:rsid w:val="00D40BA9"/>
    <w:rsid w:val="00D445A5"/>
    <w:rsid w:val="00D45A2C"/>
    <w:rsid w:val="00D53C70"/>
    <w:rsid w:val="00D63F9A"/>
    <w:rsid w:val="00D64B28"/>
    <w:rsid w:val="00D66287"/>
    <w:rsid w:val="00D86750"/>
    <w:rsid w:val="00D87175"/>
    <w:rsid w:val="00DA4717"/>
    <w:rsid w:val="00DB08A9"/>
    <w:rsid w:val="00DC6142"/>
    <w:rsid w:val="00DC7CBC"/>
    <w:rsid w:val="00DD7ABC"/>
    <w:rsid w:val="00E02E68"/>
    <w:rsid w:val="00E10EC5"/>
    <w:rsid w:val="00E37554"/>
    <w:rsid w:val="00E43E5A"/>
    <w:rsid w:val="00E678F3"/>
    <w:rsid w:val="00EA21ED"/>
    <w:rsid w:val="00EA21F5"/>
    <w:rsid w:val="00EB6D34"/>
    <w:rsid w:val="00EC105B"/>
    <w:rsid w:val="00EC61D9"/>
    <w:rsid w:val="00EC7571"/>
    <w:rsid w:val="00ED0F69"/>
    <w:rsid w:val="00ED4599"/>
    <w:rsid w:val="00EE1DE1"/>
    <w:rsid w:val="00F06815"/>
    <w:rsid w:val="00F371D4"/>
    <w:rsid w:val="00F427A8"/>
    <w:rsid w:val="00F43BAC"/>
    <w:rsid w:val="00F8690A"/>
    <w:rsid w:val="00F90C85"/>
    <w:rsid w:val="00FB42D2"/>
    <w:rsid w:val="00FB6C9D"/>
    <w:rsid w:val="00FD2885"/>
    <w:rsid w:val="00FF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stockticker"/>
  <w:smartTagType w:namespaceuri="urn:schemas-microsoft-com:office:smarttags" w:name="place"/>
  <w:shapeDefaults>
    <o:shapedefaults v:ext="edit" spidmax="2050"/>
    <o:shapelayout v:ext="edit">
      <o:idmap v:ext="edit" data="2"/>
    </o:shapelayout>
  </w:shapeDefaults>
  <w:decimalSymbol w:val="."/>
  <w:listSeparator w:val=","/>
  <w14:docId w14:val="47CF6C7A"/>
  <w15:chartTrackingRefBased/>
  <w15:docId w15:val="{0ABEE758-A284-4C01-A8D1-626E7E37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D0"/>
    <w:pPr>
      <w:spacing w:before="240" w:after="240"/>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A317D0"/>
    <w:pPr>
      <w:tabs>
        <w:tab w:val="center" w:pos="4320"/>
        <w:tab w:val="right" w:pos="8640"/>
      </w:tabs>
    </w:pPr>
    <w:rPr>
      <w:rFonts w:ascii="Arial" w:hAnsi="Arial" w:cs="Arial"/>
      <w:sz w:val="24"/>
      <w:szCs w:val="24"/>
    </w:rPr>
  </w:style>
  <w:style w:type="paragraph" w:styleId="Footer">
    <w:name w:val="footer"/>
    <w:basedOn w:val="Normal"/>
    <w:rsid w:val="002F139E"/>
    <w:pPr>
      <w:tabs>
        <w:tab w:val="center" w:pos="4320"/>
        <w:tab w:val="right" w:pos="8640"/>
      </w:tabs>
    </w:pPr>
  </w:style>
  <w:style w:type="character" w:styleId="Hyperlink">
    <w:name w:val="Hyperlink"/>
    <w:rsid w:val="00BA18FB"/>
    <w:rPr>
      <w:color w:val="0000FF"/>
      <w:u w:val="single"/>
    </w:rPr>
  </w:style>
  <w:style w:type="paragraph" w:customStyle="1" w:styleId="Style2">
    <w:name w:val="Style 2"/>
    <w:basedOn w:val="Normal"/>
    <w:rsid w:val="00E02E68"/>
    <w:pPr>
      <w:widowControl w:val="0"/>
      <w:autoSpaceDE w:val="0"/>
      <w:autoSpaceDN w:val="0"/>
      <w:adjustRightInd w:val="0"/>
      <w:spacing w:before="0" w:after="0"/>
    </w:pPr>
    <w:rPr>
      <w:rFonts w:ascii="Times New Roman" w:hAnsi="Times New Roman" w:cs="Times New Roman"/>
    </w:rPr>
  </w:style>
  <w:style w:type="paragraph" w:customStyle="1" w:styleId="Style4">
    <w:name w:val="Style 4"/>
    <w:basedOn w:val="Normal"/>
    <w:rsid w:val="00E02E68"/>
    <w:pPr>
      <w:widowControl w:val="0"/>
      <w:autoSpaceDE w:val="0"/>
      <w:autoSpaceDN w:val="0"/>
      <w:adjustRightInd w:val="0"/>
      <w:spacing w:before="0" w:after="0"/>
    </w:pPr>
    <w:rPr>
      <w:rFonts w:ascii="Times New Roman" w:hAnsi="Times New Roman" w:cs="Times New Roman"/>
    </w:rPr>
  </w:style>
  <w:style w:type="character" w:styleId="CommentReference">
    <w:name w:val="annotation reference"/>
    <w:semiHidden/>
    <w:rsid w:val="00E02E68"/>
    <w:rPr>
      <w:sz w:val="16"/>
      <w:szCs w:val="16"/>
    </w:rPr>
  </w:style>
  <w:style w:type="paragraph" w:styleId="CommentText">
    <w:name w:val="annotation text"/>
    <w:basedOn w:val="Normal"/>
    <w:link w:val="CommentTextChar"/>
    <w:semiHidden/>
    <w:rsid w:val="00E02E68"/>
    <w:pPr>
      <w:spacing w:before="0" w:after="0"/>
    </w:pPr>
    <w:rPr>
      <w:sz w:val="20"/>
      <w:szCs w:val="20"/>
    </w:rPr>
  </w:style>
  <w:style w:type="paragraph" w:styleId="BalloonText">
    <w:name w:val="Balloon Text"/>
    <w:basedOn w:val="Normal"/>
    <w:semiHidden/>
    <w:rsid w:val="00E02E68"/>
    <w:rPr>
      <w:rFonts w:ascii="Tahoma" w:hAnsi="Tahoma" w:cs="Tahoma"/>
      <w:sz w:val="16"/>
      <w:szCs w:val="16"/>
    </w:rPr>
  </w:style>
  <w:style w:type="character" w:styleId="PageNumber">
    <w:name w:val="page number"/>
    <w:basedOn w:val="DefaultParagraphFont"/>
    <w:rsid w:val="00750C2A"/>
  </w:style>
  <w:style w:type="paragraph" w:styleId="FootnoteText">
    <w:name w:val="footnote text"/>
    <w:basedOn w:val="Normal"/>
    <w:link w:val="FootnoteTextChar"/>
    <w:uiPriority w:val="99"/>
    <w:semiHidden/>
    <w:unhideWhenUsed/>
    <w:rsid w:val="009E3B83"/>
    <w:pPr>
      <w:widowControl w:val="0"/>
      <w:autoSpaceDE w:val="0"/>
      <w:autoSpaceDN w:val="0"/>
      <w:adjustRightInd w:val="0"/>
      <w:spacing w:before="0" w:after="0"/>
    </w:pPr>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E3B83"/>
  </w:style>
  <w:style w:type="character" w:styleId="FootnoteReference">
    <w:name w:val="footnote reference"/>
    <w:basedOn w:val="DefaultParagraphFont"/>
    <w:uiPriority w:val="99"/>
    <w:semiHidden/>
    <w:unhideWhenUsed/>
    <w:rsid w:val="009E3B83"/>
    <w:rPr>
      <w:vertAlign w:val="superscript"/>
    </w:rPr>
  </w:style>
  <w:style w:type="paragraph" w:styleId="Caption">
    <w:name w:val="caption"/>
    <w:basedOn w:val="Normal"/>
    <w:next w:val="Normal"/>
    <w:uiPriority w:val="35"/>
    <w:unhideWhenUsed/>
    <w:qFormat/>
    <w:rsid w:val="009E3B83"/>
    <w:pPr>
      <w:spacing w:before="0" w:after="200"/>
    </w:pPr>
    <w:rPr>
      <w:rFonts w:asciiTheme="minorHAnsi" w:eastAsiaTheme="minorHAnsi" w:hAnsiTheme="minorHAnsi" w:cstheme="minorBidi"/>
      <w:i/>
      <w:iCs/>
      <w:color w:val="44546A" w:themeColor="text2"/>
      <w:sz w:val="18"/>
      <w:szCs w:val="18"/>
    </w:rPr>
  </w:style>
  <w:style w:type="paragraph" w:styleId="ListParagraph">
    <w:name w:val="List Paragraph"/>
    <w:basedOn w:val="Normal"/>
    <w:uiPriority w:val="34"/>
    <w:qFormat/>
    <w:rsid w:val="009E3B83"/>
    <w:pPr>
      <w:spacing w:before="0" w:after="0"/>
      <w:ind w:left="720"/>
      <w:contextualSpacing/>
    </w:pPr>
    <w:rPr>
      <w:rFonts w:asciiTheme="minorHAnsi" w:eastAsiaTheme="minorHAnsi" w:hAnsiTheme="minorHAnsi" w:cstheme="minorBidi"/>
      <w:sz w:val="22"/>
      <w:szCs w:val="22"/>
    </w:rPr>
  </w:style>
  <w:style w:type="paragraph" w:styleId="Revision">
    <w:name w:val="Revision"/>
    <w:hidden/>
    <w:uiPriority w:val="99"/>
    <w:semiHidden/>
    <w:rsid w:val="00FD2885"/>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FD2885"/>
    <w:pPr>
      <w:spacing w:before="240" w:after="240"/>
    </w:pPr>
    <w:rPr>
      <w:b/>
      <w:bCs/>
    </w:rPr>
  </w:style>
  <w:style w:type="character" w:customStyle="1" w:styleId="CommentTextChar">
    <w:name w:val="Comment Text Char"/>
    <w:basedOn w:val="DefaultParagraphFont"/>
    <w:link w:val="CommentText"/>
    <w:semiHidden/>
    <w:rsid w:val="00FD2885"/>
    <w:rPr>
      <w:rFonts w:ascii="Arial" w:hAnsi="Arial" w:cs="Arial"/>
    </w:rPr>
  </w:style>
  <w:style w:type="character" w:customStyle="1" w:styleId="CommentSubjectChar">
    <w:name w:val="Comment Subject Char"/>
    <w:basedOn w:val="CommentTextChar"/>
    <w:link w:val="CommentSubject"/>
    <w:uiPriority w:val="99"/>
    <w:semiHidden/>
    <w:rsid w:val="00FD2885"/>
    <w:rPr>
      <w:rFonts w:ascii="Arial" w:hAnsi="Arial" w:cs="Arial"/>
      <w:b/>
      <w:bCs/>
    </w:rPr>
  </w:style>
  <w:style w:type="paragraph" w:customStyle="1" w:styleId="msonormal0">
    <w:name w:val="msonormal"/>
    <w:basedOn w:val="Normal"/>
    <w:rsid w:val="00ED4599"/>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F43BA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D2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5388">
      <w:bodyDiv w:val="1"/>
      <w:marLeft w:val="0"/>
      <w:marRight w:val="0"/>
      <w:marTop w:val="0"/>
      <w:marBottom w:val="0"/>
      <w:divBdr>
        <w:top w:val="none" w:sz="0" w:space="0" w:color="auto"/>
        <w:left w:val="none" w:sz="0" w:space="0" w:color="auto"/>
        <w:bottom w:val="none" w:sz="0" w:space="0" w:color="auto"/>
        <w:right w:val="none" w:sz="0" w:space="0" w:color="auto"/>
      </w:divBdr>
      <w:divsChild>
        <w:div w:id="191263505">
          <w:marLeft w:val="0"/>
          <w:marRight w:val="0"/>
          <w:marTop w:val="0"/>
          <w:marBottom w:val="0"/>
          <w:divBdr>
            <w:top w:val="none" w:sz="0" w:space="0" w:color="auto"/>
            <w:left w:val="none" w:sz="0" w:space="0" w:color="auto"/>
            <w:bottom w:val="none" w:sz="0" w:space="0" w:color="auto"/>
            <w:right w:val="none" w:sz="0" w:space="0" w:color="auto"/>
          </w:divBdr>
        </w:div>
      </w:divsChild>
    </w:div>
    <w:div w:id="612253680">
      <w:bodyDiv w:val="1"/>
      <w:marLeft w:val="0"/>
      <w:marRight w:val="0"/>
      <w:marTop w:val="0"/>
      <w:marBottom w:val="0"/>
      <w:divBdr>
        <w:top w:val="none" w:sz="0" w:space="0" w:color="auto"/>
        <w:left w:val="none" w:sz="0" w:space="0" w:color="auto"/>
        <w:bottom w:val="none" w:sz="0" w:space="0" w:color="auto"/>
        <w:right w:val="none" w:sz="0" w:space="0" w:color="auto"/>
      </w:divBdr>
      <w:divsChild>
        <w:div w:id="446972893">
          <w:marLeft w:val="0"/>
          <w:marRight w:val="0"/>
          <w:marTop w:val="0"/>
          <w:marBottom w:val="0"/>
          <w:divBdr>
            <w:top w:val="none" w:sz="0" w:space="0" w:color="auto"/>
            <w:left w:val="none" w:sz="0" w:space="0" w:color="auto"/>
            <w:bottom w:val="none" w:sz="0" w:space="0" w:color="auto"/>
            <w:right w:val="none" w:sz="0" w:space="0" w:color="auto"/>
          </w:divBdr>
        </w:div>
      </w:divsChild>
    </w:div>
    <w:div w:id="873923759">
      <w:bodyDiv w:val="1"/>
      <w:marLeft w:val="0"/>
      <w:marRight w:val="0"/>
      <w:marTop w:val="0"/>
      <w:marBottom w:val="0"/>
      <w:divBdr>
        <w:top w:val="none" w:sz="0" w:space="0" w:color="auto"/>
        <w:left w:val="none" w:sz="0" w:space="0" w:color="auto"/>
        <w:bottom w:val="none" w:sz="0" w:space="0" w:color="auto"/>
        <w:right w:val="none" w:sz="0" w:space="0" w:color="auto"/>
      </w:divBdr>
      <w:divsChild>
        <w:div w:id="1332174706">
          <w:marLeft w:val="0"/>
          <w:marRight w:val="0"/>
          <w:marTop w:val="0"/>
          <w:marBottom w:val="0"/>
          <w:divBdr>
            <w:top w:val="none" w:sz="0" w:space="0" w:color="auto"/>
            <w:left w:val="none" w:sz="0" w:space="0" w:color="auto"/>
            <w:bottom w:val="none" w:sz="0" w:space="0" w:color="auto"/>
            <w:right w:val="none" w:sz="0" w:space="0" w:color="auto"/>
          </w:divBdr>
        </w:div>
      </w:divsChild>
    </w:div>
    <w:div w:id="882668361">
      <w:bodyDiv w:val="1"/>
      <w:marLeft w:val="0"/>
      <w:marRight w:val="0"/>
      <w:marTop w:val="0"/>
      <w:marBottom w:val="0"/>
      <w:divBdr>
        <w:top w:val="none" w:sz="0" w:space="0" w:color="auto"/>
        <w:left w:val="none" w:sz="0" w:space="0" w:color="auto"/>
        <w:bottom w:val="none" w:sz="0" w:space="0" w:color="auto"/>
        <w:right w:val="none" w:sz="0" w:space="0" w:color="auto"/>
      </w:divBdr>
      <w:divsChild>
        <w:div w:id="1054353058">
          <w:marLeft w:val="0"/>
          <w:marRight w:val="0"/>
          <w:marTop w:val="0"/>
          <w:marBottom w:val="0"/>
          <w:divBdr>
            <w:top w:val="none" w:sz="0" w:space="0" w:color="auto"/>
            <w:left w:val="none" w:sz="0" w:space="0" w:color="auto"/>
            <w:bottom w:val="none" w:sz="0" w:space="0" w:color="auto"/>
            <w:right w:val="none" w:sz="0" w:space="0" w:color="auto"/>
          </w:divBdr>
        </w:div>
      </w:divsChild>
    </w:div>
    <w:div w:id="106981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ildlife.ca.gov/Conservation/Delta/20mm-Survey/Bibliography" TargetMode="External"/><Relationship Id="rId2" Type="http://schemas.openxmlformats.org/officeDocument/2006/relationships/hyperlink" Target="https://nrm.dfg.ca.gov/FileHandler.ashx?DocumentID=202706" TargetMode="External"/><Relationship Id="rId1" Type="http://schemas.openxmlformats.org/officeDocument/2006/relationships/hyperlink" Target="https://nrm.dfg.ca.gov/FileHandler.ashx?DocumentID=202704"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1.bin"/><Relationship Id="rId1" Type="http://schemas.openxmlformats.org/officeDocument/2006/relationships/image" Target="media/image3.png"/><Relationship Id="rId5" Type="http://schemas.openxmlformats.org/officeDocument/2006/relationships/hyperlink" Target="http://www.cdfw.ca.gov" TargetMode="External"/><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D90AB-0CD6-4106-8AD8-C27D3AEDC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1611</Words>
  <Characters>7972</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CDFW Letterhead Template - Formatted</vt:lpstr>
    </vt:vector>
  </TitlesOfParts>
  <Company>California Department of Fish &amp; Game</Company>
  <LinksUpToDate>false</LinksUpToDate>
  <CharactersWithSpaces>9564</CharactersWithSpaces>
  <SharedDoc>false</SharedDoc>
  <HLinks>
    <vt:vector size="6" baseType="variant">
      <vt:variant>
        <vt:i4>7340129</vt:i4>
      </vt:variant>
      <vt:variant>
        <vt:i4>3</vt:i4>
      </vt:variant>
      <vt:variant>
        <vt:i4>0</vt:i4>
      </vt:variant>
      <vt:variant>
        <vt:i4>5</vt:i4>
      </vt:variant>
      <vt:variant>
        <vt:lpwstr>http://www.cdfw.ca.gov/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CDFW Letterhead Template - Formatted</dc:title>
  <dc:subject/>
  <dc:creator>Gem.Laoyan@wildlife.ca.gov</dc:creator>
  <cp:keywords/>
  <cp:lastModifiedBy>Nguyen, Trinh@Wildlife</cp:lastModifiedBy>
  <cp:revision>2</cp:revision>
  <cp:lastPrinted>2012-06-06T20:18:00Z</cp:lastPrinted>
  <dcterms:created xsi:type="dcterms:W3CDTF">2022-08-09T23:16:00Z</dcterms:created>
  <dcterms:modified xsi:type="dcterms:W3CDTF">2022-08-09T23:16:00Z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Gem.Laoyan@wildlife.ca.gov</vt:lpwstr>
  </property>
  <property fmtid="{D5CDD505-2E9C-101B-9397-08002B2CF9AE}" pid="5" name="MSIP_Label_6e685f86-ed8d-482b-be3a-2b7af73f9b7f_SetDate">
    <vt:lpwstr>2019-05-17T15:23:30.3822658Z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Extended_MSFT_Method">
    <vt:lpwstr>Automatic</vt:lpwstr>
  </property>
  <property fmtid="{D5CDD505-2E9C-101B-9397-08002B2CF9AE}" pid="9" name="Sensitivity">
    <vt:lpwstr>General</vt:lpwstr>
  </property>
</Properties>
</file>