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pPr>
      <w:r>
        <w:rPr>
          <w:rFonts w:ascii="Arial" w:cs="Arial" w:eastAsia="Arial" w:hAnsi="Arial"/>
          <w:b/>
          <w:bCs/>
          <w:color w:val="2563EB"/>
          <w:spacing w:val="20"/>
          <w:sz w:val="52"/>
          <w:szCs w:val="52"/>
        </w:rPr>
        <w:t xml:space="preserve">TMOS13</w:t>
      </w:r>
    </w:p>
    <w:p>
      <w:pPr>
        <w:spacing w:before="0" w:after="480"/>
      </w:pPr>
      <w:r>
        <w:rPr>
          <w:rFonts w:ascii="Arial" w:cs="Arial" w:eastAsia="Arial" w:hAnsi="Arial"/>
          <w:color w:val="9CA3AF"/>
          <w:sz w:val="20"/>
          <w:szCs w:val="20"/>
        </w:rPr>
        <w:t xml:space="preserve">Working Paper — March 2026</w:t>
      </w:r>
    </w:p>
    <w:p>
      <w:pPr>
        <w:pBdr>
          <w:bottom w:val="single" w:color="2563EB" w:sz="12" w:space="1"/>
        </w:pBdr>
        <w:spacing w:before="0" w:after="240"/>
      </w:pPr>
    </w:p>
    <w:p>
      <w:pPr>
        <w:spacing w:before="240" w:after="60"/>
      </w:pPr>
      <w:r>
        <w:rPr>
          <w:rFonts w:ascii="Arial" w:cs="Arial" w:eastAsia="Arial" w:hAnsi="Arial"/>
          <w:b/>
          <w:bCs/>
          <w:color w:val="060A0D"/>
          <w:sz w:val="48"/>
          <w:szCs w:val="48"/>
        </w:rPr>
        <w:t xml:space="preserve">Every Distinct Category of</w:t>
      </w:r>
    </w:p>
    <w:p>
      <w:pPr>
        <w:spacing w:before="0" w:after="80"/>
      </w:pPr>
      <w:r>
        <w:rPr>
          <w:rFonts w:ascii="Arial" w:cs="Arial" w:eastAsia="Arial" w:hAnsi="Arial"/>
          <w:b/>
          <w:bCs/>
          <w:color w:val="060A0D"/>
          <w:sz w:val="48"/>
          <w:szCs w:val="48"/>
        </w:rPr>
        <w:t xml:space="preserve">Human Interactive Experience</w:t>
      </w:r>
    </w:p>
    <w:p>
      <w:pPr>
        <w:spacing w:before="0" w:after="480"/>
      </w:pPr>
      <w:r>
        <w:rPr>
          <w:rFonts w:ascii="Georgia" w:cs="Georgia" w:eastAsia="Georgia" w:hAnsi="Georgia"/>
          <w:i/>
          <w:iCs/>
          <w:color w:val="4B5563"/>
          <w:sz w:val="28"/>
          <w:szCs w:val="28"/>
        </w:rPr>
        <w:t xml:space="preserve">A First-Principles Map for the Human Library</w:t>
      </w:r>
    </w:p>
    <w:p>
      <w:pPr>
        <w:pBdr>
          <w:bottom w:val="single" w:color="E5E7EB" w:sz="4" w:space="1"/>
        </w:pBdr>
        <w:spacing w:before="0" w:after="240"/>
      </w:pPr>
    </w:p>
    <w:p>
      <w:pPr>
        <w:spacing w:before="240" w:after="0"/>
      </w:pPr>
      <w:r>
        <w:t xml:space="preserve"/>
      </w:r>
    </w:p>
    <w:p>
      <w:pPr>
        <w:spacing w:before="0" w:after="60"/>
      </w:pPr>
      <w:r>
        <w:rPr>
          <w:rFonts w:ascii="Arial" w:cs="Arial" w:eastAsia="Arial" w:hAnsi="Arial"/>
          <w:b/>
          <w:bCs/>
          <w:color w:val="060A0D"/>
          <w:sz w:val="22"/>
          <w:szCs w:val="22"/>
        </w:rPr>
        <w:t xml:space="preserve">Robert C. Ventura</w:t>
      </w:r>
    </w:p>
    <w:p>
      <w:pPr>
        <w:spacing w:before="0" w:after="480"/>
      </w:pPr>
      <w:r>
        <w:rPr>
          <w:rFonts w:ascii="Arial" w:cs="Arial" w:eastAsia="Arial" w:hAnsi="Arial"/>
          <w:color w:val="4B5563"/>
          <w:sz w:val="20"/>
          <w:szCs w:val="20"/>
        </w:rPr>
        <w:t xml:space="preserve">Founder &amp; CEO, TMOS13, LLC  ·  tmos13.ai  ·  rob@tmos13.ai</w:t>
      </w:r>
    </w:p>
    <w:p>
      <w:pPr>
        <w:pBdr>
          <w:bottom w:val="single" w:color="2563EB" w:sz="8" w:space="1"/>
        </w:pBdr>
        <w:spacing w:before="0" w:after="240"/>
      </w:pPr>
    </w:p>
    <w:p>
      <w:pPr>
        <w:spacing w:before="480" w:after="0"/>
      </w:pPr>
      <w:r>
        <w:t xml:space="preserve"/>
      </w:r>
    </w:p>
    <w:p>
      <w:pPr>
        <w:spacing w:before="0" w:after="80"/>
      </w:pPr>
      <w:r>
        <w:rPr>
          <w:rFonts w:ascii="Arial" w:cs="Arial" w:eastAsia="Arial" w:hAnsi="Arial"/>
          <w:b/>
          <w:bCs/>
          <w:color w:val="9CA3AF"/>
          <w:spacing w:val="40"/>
          <w:sz w:val="18"/>
          <w:szCs w:val="18"/>
        </w:rPr>
        <w:t xml:space="preserve">THE ORGANIZING QUESTION</w:t>
      </w:r>
    </w:p>
    <w:p>
      <w:pPr>
        <w:pBdr>
          <w:bottom w:val="single" w:color="E5E7EB" w:sz="4" w:space="1"/>
        </w:pBdr>
        <w:spacing w:before="0" w:after="240"/>
      </w:pPr>
    </w:p>
    <w:p>
      <w:pPr>
        <w:spacing w:before="80" w:after="0"/>
      </w:pPr>
      <w:r>
        <w:t xml:space="preserve"/>
      </w:r>
    </w:p>
    <w:p>
      <w:pPr>
        <w:spacing w:before="0" w:after="200"/>
      </w:pPr>
      <w:r>
        <w:rPr>
          <w:rFonts w:ascii="Georgia" w:cs="Georgia" w:eastAsia="Georgia" w:hAnsi="Georgia"/>
          <w:color w:val="1F2937"/>
          <w:sz w:val="24"/>
          <w:szCs w:val="24"/>
        </w:rPr>
        <w:t xml:space="preserve">The question is not what do people do. The question is what is the structure of the interaction itself. Structure determines what kind of governed simulation is appropriate, what the consequence axis looks like, and what the deliverable is.</w:t>
      </w:r>
    </w:p>
    <w:p>
      <w:pPr>
        <w:spacing w:before="0" w:after="200"/>
      </w:pPr>
      <w:r>
        <w:rPr>
          <w:rFonts w:ascii="Georgia" w:cs="Georgia" w:eastAsia="Georgia" w:hAnsi="Georgia"/>
          <w:color w:val="1F2937"/>
          <w:sz w:val="24"/>
          <w:szCs w:val="24"/>
        </w:rPr>
        <w:t xml:space="preserve">The professional library covered asymmetric expert-to-client interactions — one party holds knowledge, the other holds need. It was the right place to start: high consequence, clear deliverables, existing professional standards to encode as governance rules.</w:t>
      </w:r>
    </w:p>
    <w:p>
      <w:pPr>
        <w:spacing w:before="0" w:after="200"/>
      </w:pPr>
      <w:r>
        <w:rPr>
          <w:rFonts w:ascii="Georgia" w:cs="Georgia" w:eastAsia="Georgia" w:hAnsi="Georgia"/>
          <w:color w:val="1F2937"/>
          <w:sz w:val="24"/>
          <w:szCs w:val="24"/>
        </w:rPr>
        <w:t xml:space="preserve">This document maps the rest. The full territory of human interactive experience, built from first principles, organized by party structure and exchange type rather than by domain or profession.</w:t>
      </w:r>
    </w:p>
    <w:p>
      <w:pPr>
        <w:pBdr>
          <w:left w:val="single" w:color="2563EB" w:sz="24" w:space="12"/>
        </w:pBdr>
        <w:spacing w:before="280" w:after="280"/>
        <w:ind w:left="480"/>
      </w:pPr>
      <w:r>
        <w:rPr>
          <w:rFonts w:ascii="Georgia" w:cs="Georgia" w:eastAsia="Georgia" w:hAnsi="Georgia"/>
          <w:i/>
          <w:iCs/>
          <w:color w:val="2563EB"/>
          <w:sz w:val="28"/>
          <w:szCs w:val="28"/>
        </w:rPr>
        <w:t xml:space="preserve">The second library is the human library. The first was the professional library.</w:t>
      </w:r>
    </w:p>
    <w:p>
      <w:pPr>
        <w:spacing w:before="0" w:after="200"/>
      </w:pPr>
      <w:r>
        <w:rPr>
          <w:rFonts w:ascii="Georgia" w:cs="Georgia" w:eastAsia="Georgia" w:hAnsi="Georgia"/>
          <w:color w:val="1F2937"/>
          <w:sz w:val="24"/>
          <w:szCs w:val="24"/>
        </w:rPr>
        <w:t xml:space="preserve">Every governed session in the human library has the same architectural requirements as every governed session in the professional library. A pack. A manifest. Routing rules. Completion criteria. A deliverable. A Vault record. The governance layer is the same. The territory is different.</w:t>
      </w:r>
    </w:p>
    <w:p>
      <w:pPr>
        <w:spacing w:before="240" w:after="0"/>
      </w:pPr>
      <w:r>
        <w:t xml:space="preserve"/>
      </w:r>
    </w:p>
    <w:p>
      <w:pPr>
        <w:pBdr>
          <w:bottom w:val="single" w:color="2563EB" w:sz="8" w:space="1"/>
        </w:pBdr>
        <w:spacing w:before="0" w:after="240"/>
      </w:pPr>
    </w:p>
    <w:p>
      <w:pPr>
        <w:spacing w:before="240" w:after="0"/>
      </w:pPr>
      <w:r>
        <w:t xml:space="preserve"/>
      </w:r>
    </w:p>
    <w:p>
      <w:pPr>
        <w:pStyle w:val="Heading1"/>
        <w:spacing w:before="480" w:after="120"/>
      </w:pPr>
      <w:r>
        <w:rPr>
          <w:rFonts w:ascii="Arial" w:cs="Arial" w:eastAsia="Arial" w:hAnsi="Arial"/>
          <w:b/>
          <w:bCs/>
          <w:color w:val="060A0D"/>
          <w:sz w:val="36"/>
          <w:szCs w:val="36"/>
        </w:rPr>
        <w:t xml:space="preserve">Axis 1: Who Are the Parties?</w:t>
      </w:r>
    </w:p>
    <w:p>
      <w:pPr>
        <w:spacing w:before="0" w:after="200"/>
      </w:pPr>
      <w:r>
        <w:rPr>
          <w:rFonts w:ascii="Georgia" w:cs="Georgia" w:eastAsia="Georgia" w:hAnsi="Georgia"/>
          <w:color w:val="1F2937"/>
          <w:sz w:val="24"/>
          <w:szCs w:val="24"/>
        </w:rPr>
        <w:t xml:space="preserve">Every human interaction has a party structure. The structure determines the simulation type, the appropriate governance depth, and the consequence profile.</w:t>
      </w:r>
    </w:p>
    <w:p>
      <w:pPr>
        <w:spacing w:before="80" w:after="0"/>
      </w:pPr>
      <w:r>
        <w:t xml:space="preserve"/>
      </w:r>
    </w:p>
    <w:p>
      <w:pPr>
        <w:spacing w:before="100" w:after="100"/>
        <w:ind w:left="240"/>
      </w:pPr>
      <w:r>
        <w:rPr>
          <w:rFonts w:ascii="Courier New" w:cs="Courier New" w:eastAsia="Courier New" w:hAnsi="Courier New"/>
          <w:b/>
          <w:bCs/>
          <w:color w:val="2563EB"/>
          <w:sz w:val="22"/>
          <w:szCs w:val="22"/>
        </w:rPr>
        <w:t xml:space="preserve">Self ↔ Self  </w:t>
      </w:r>
      <w:r>
        <w:rPr>
          <w:rFonts w:ascii="Georgia" w:cs="Georgia" w:eastAsia="Georgia" w:hAnsi="Georgia"/>
          <w:color w:val="4B5563"/>
          <w:sz w:val="22"/>
          <w:szCs w:val="22"/>
        </w:rPr>
        <w:t xml:space="preserve">Introspection, reflection, decision-making, ritual. The inner life as governed experience.</w:t>
      </w:r>
    </w:p>
    <w:p>
      <w:pPr>
        <w:spacing w:before="100" w:after="100"/>
        <w:ind w:left="240"/>
      </w:pPr>
      <w:r>
        <w:rPr>
          <w:rFonts w:ascii="Courier New" w:cs="Courier New" w:eastAsia="Courier New" w:hAnsi="Courier New"/>
          <w:b/>
          <w:bCs/>
          <w:color w:val="2563EB"/>
          <w:sz w:val="22"/>
          <w:szCs w:val="22"/>
        </w:rPr>
        <w:t xml:space="preserve">Self ↔ One  </w:t>
      </w:r>
      <w:r>
        <w:rPr>
          <w:rFonts w:ascii="Georgia" w:cs="Georgia" w:eastAsia="Georgia" w:hAnsi="Georgia"/>
          <w:color w:val="4B5563"/>
          <w:sz w:val="22"/>
          <w:szCs w:val="22"/>
        </w:rPr>
        <w:t xml:space="preserve">Dyadic: intimate, professional, transactional, adversarial. The most consequential interpersonal territory.</w:t>
      </w:r>
    </w:p>
    <w:p>
      <w:pPr>
        <w:spacing w:before="100" w:after="100"/>
        <w:ind w:left="240"/>
      </w:pPr>
      <w:r>
        <w:rPr>
          <w:rFonts w:ascii="Courier New" w:cs="Courier New" w:eastAsia="Courier New" w:hAnsi="Courier New"/>
          <w:b/>
          <w:bCs/>
          <w:color w:val="2563EB"/>
          <w:sz w:val="22"/>
          <w:szCs w:val="22"/>
        </w:rPr>
        <w:t xml:space="preserve">Self ↔ Few  </w:t>
      </w:r>
      <w:r>
        <w:rPr>
          <w:rFonts w:ascii="Georgia" w:cs="Georgia" w:eastAsia="Georgia" w:hAnsi="Georgia"/>
          <w:color w:val="4B5563"/>
          <w:sz w:val="22"/>
          <w:szCs w:val="22"/>
        </w:rPr>
        <w:t xml:space="preserve">Small group: family, team, circle, tribunal. Collective intelligence and group dynamics.</w:t>
      </w:r>
    </w:p>
    <w:p>
      <w:pPr>
        <w:spacing w:before="100" w:after="100"/>
        <w:ind w:left="240"/>
      </w:pPr>
      <w:r>
        <w:rPr>
          <w:rFonts w:ascii="Courier New" w:cs="Courier New" w:eastAsia="Courier New" w:hAnsi="Courier New"/>
          <w:b/>
          <w:bCs/>
          <w:color w:val="2563EB"/>
          <w:sz w:val="22"/>
          <w:szCs w:val="22"/>
        </w:rPr>
        <w:t xml:space="preserve">Self ↔ Many  </w:t>
      </w:r>
      <w:r>
        <w:rPr>
          <w:rFonts w:ascii="Georgia" w:cs="Georgia" w:eastAsia="Georgia" w:hAnsi="Georgia"/>
          <w:color w:val="4B5563"/>
          <w:sz w:val="22"/>
          <w:szCs w:val="22"/>
        </w:rPr>
        <w:t xml:space="preserve">Public: audience, institution, market, society. Performance, advocacy, reputation.</w:t>
      </w:r>
    </w:p>
    <w:p>
      <w:pPr>
        <w:spacing w:before="100" w:after="100"/>
        <w:ind w:left="240"/>
      </w:pPr>
      <w:r>
        <w:rPr>
          <w:rFonts w:ascii="Courier New" w:cs="Courier New" w:eastAsia="Courier New" w:hAnsi="Courier New"/>
          <w:b/>
          <w:bCs/>
          <w:color w:val="2563EB"/>
          <w:sz w:val="22"/>
          <w:szCs w:val="22"/>
        </w:rPr>
        <w:t xml:space="preserve">Self ↔ System  </w:t>
      </w:r>
      <w:r>
        <w:rPr>
          <w:rFonts w:ascii="Georgia" w:cs="Georgia" w:eastAsia="Georgia" w:hAnsi="Georgia"/>
          <w:color w:val="4B5563"/>
          <w:sz w:val="22"/>
          <w:szCs w:val="22"/>
        </w:rPr>
        <w:t xml:space="preserve">Bureaucratic, algorithmic, procedural. The citizen navigating structure.</w:t>
      </w:r>
    </w:p>
    <w:p>
      <w:pPr>
        <w:spacing w:before="100" w:after="100"/>
        <w:ind w:left="240"/>
      </w:pPr>
      <w:r>
        <w:rPr>
          <w:rFonts w:ascii="Courier New" w:cs="Courier New" w:eastAsia="Courier New" w:hAnsi="Courier New"/>
          <w:b/>
          <w:bCs/>
          <w:color w:val="2563EB"/>
          <w:sz w:val="22"/>
          <w:szCs w:val="22"/>
        </w:rPr>
        <w:t xml:space="preserve">Self ↔ Time  </w:t>
      </w:r>
      <w:r>
        <w:rPr>
          <w:rFonts w:ascii="Georgia" w:cs="Georgia" w:eastAsia="Georgia" w:hAnsi="Georgia"/>
          <w:color w:val="4B5563"/>
          <w:sz w:val="22"/>
          <w:szCs w:val="22"/>
        </w:rPr>
        <w:t xml:space="preserve">Past (memory, grief, regret), future (planning, anxiety, hope), threshold (transition).</w:t>
      </w:r>
    </w:p>
    <w:p>
      <w:pPr>
        <w:spacing w:before="100" w:after="100"/>
        <w:ind w:left="240"/>
      </w:pPr>
      <w:r>
        <w:rPr>
          <w:rFonts w:ascii="Courier New" w:cs="Courier New" w:eastAsia="Courier New" w:hAnsi="Courier New"/>
          <w:b/>
          <w:bCs/>
          <w:color w:val="2563EB"/>
          <w:sz w:val="22"/>
          <w:szCs w:val="22"/>
        </w:rPr>
        <w:t xml:space="preserve">Self ↔ Unknown  </w:t>
      </w:r>
      <w:r>
        <w:rPr>
          <w:rFonts w:ascii="Georgia" w:cs="Georgia" w:eastAsia="Georgia" w:hAnsi="Georgia"/>
          <w:color w:val="4B5563"/>
          <w:sz w:val="22"/>
          <w:szCs w:val="22"/>
        </w:rPr>
        <w:t xml:space="preserve">Mystery, discovery, spiritual, existential. The open frontier.</w:t>
      </w:r>
    </w:p>
    <w:p>
      <w:pPr>
        <w:spacing w:before="240" w:after="0"/>
      </w:pPr>
      <w:r>
        <w:t xml:space="preserve"/>
      </w:r>
    </w:p>
    <w:p>
      <w:pPr>
        <w:pStyle w:val="Heading1"/>
        <w:spacing w:before="480" w:after="120"/>
      </w:pPr>
      <w:r>
        <w:rPr>
          <w:rFonts w:ascii="Arial" w:cs="Arial" w:eastAsia="Arial" w:hAnsi="Arial"/>
          <w:b/>
          <w:bCs/>
          <w:color w:val="060A0D"/>
          <w:sz w:val="36"/>
          <w:szCs w:val="36"/>
        </w:rPr>
        <w:t xml:space="preserve">Axis 2: What Is the Nature of the Exchange?</w:t>
      </w:r>
    </w:p>
    <w:p>
      <w:pPr>
        <w:spacing w:before="0" w:after="200"/>
      </w:pPr>
      <w:r>
        <w:rPr>
          <w:rFonts w:ascii="Georgia" w:cs="Georgia" w:eastAsia="Georgia" w:hAnsi="Georgia"/>
          <w:color w:val="1F2937"/>
          <w:sz w:val="24"/>
          <w:szCs w:val="24"/>
        </w:rPr>
        <w:t xml:space="preserve">The exchange type determines the deliverable structure, the routing logic, and the consequence membrane. Ten types, each generating a distinct simulation category.</w:t>
      </w:r>
    </w:p>
    <w:p>
      <w:pPr>
        <w:spacing w:before="80" w:after="0"/>
      </w:pPr>
      <w:r>
        <w:t xml:space="preserve"/>
      </w:r>
    </w:p>
    <w:p>
      <w:pPr>
        <w:spacing w:before="100" w:after="100"/>
        <w:ind w:left="240"/>
      </w:pPr>
      <w:r>
        <w:rPr>
          <w:rFonts w:ascii="Courier New" w:cs="Courier New" w:eastAsia="Courier New" w:hAnsi="Courier New"/>
          <w:b/>
          <w:bCs/>
          <w:color w:val="2563EB"/>
          <w:sz w:val="22"/>
          <w:szCs w:val="22"/>
        </w:rPr>
        <w:t xml:space="preserve">Transactional  </w:t>
      </w:r>
      <w:r>
        <w:rPr>
          <w:rFonts w:ascii="Georgia" w:cs="Georgia" w:eastAsia="Georgia" w:hAnsi="Georgia"/>
          <w:color w:val="4B5563"/>
          <w:sz w:val="22"/>
          <w:szCs w:val="22"/>
        </w:rPr>
        <w:t xml:space="preserve">Something changes hands: money, information, service, permission.</w:t>
      </w:r>
    </w:p>
    <w:p>
      <w:pPr>
        <w:spacing w:before="100" w:after="100"/>
        <w:ind w:left="240"/>
      </w:pPr>
      <w:r>
        <w:rPr>
          <w:rFonts w:ascii="Courier New" w:cs="Courier New" w:eastAsia="Courier New" w:hAnsi="Courier New"/>
          <w:b/>
          <w:bCs/>
          <w:color w:val="2563EB"/>
          <w:sz w:val="22"/>
          <w:szCs w:val="22"/>
        </w:rPr>
        <w:t xml:space="preserve">Relational  </w:t>
      </w:r>
      <w:r>
        <w:rPr>
          <w:rFonts w:ascii="Georgia" w:cs="Georgia" w:eastAsia="Georgia" w:hAnsi="Georgia"/>
          <w:color w:val="4B5563"/>
          <w:sz w:val="22"/>
          <w:szCs w:val="22"/>
        </w:rPr>
        <w:t xml:space="preserve">The relationship itself is the output: it deepens, repairs, ends, or begins.</w:t>
      </w:r>
    </w:p>
    <w:p>
      <w:pPr>
        <w:spacing w:before="100" w:after="100"/>
        <w:ind w:left="240"/>
      </w:pPr>
      <w:r>
        <w:rPr>
          <w:rFonts w:ascii="Courier New" w:cs="Courier New" w:eastAsia="Courier New" w:hAnsi="Courier New"/>
          <w:b/>
          <w:bCs/>
          <w:color w:val="2563EB"/>
          <w:sz w:val="22"/>
          <w:szCs w:val="22"/>
        </w:rPr>
        <w:t xml:space="preserve">Deliberative  </w:t>
      </w:r>
      <w:r>
        <w:rPr>
          <w:rFonts w:ascii="Georgia" w:cs="Georgia" w:eastAsia="Georgia" w:hAnsi="Georgia"/>
          <w:color w:val="4B5563"/>
          <w:sz w:val="22"/>
          <w:szCs w:val="22"/>
        </w:rPr>
        <w:t xml:space="preserve">A decision is being made: alone or together.</w:t>
      </w:r>
    </w:p>
    <w:p>
      <w:pPr>
        <w:spacing w:before="100" w:after="100"/>
        <w:ind w:left="240"/>
      </w:pPr>
      <w:r>
        <w:rPr>
          <w:rFonts w:ascii="Courier New" w:cs="Courier New" w:eastAsia="Courier New" w:hAnsi="Courier New"/>
          <w:b/>
          <w:bCs/>
          <w:color w:val="2563EB"/>
          <w:sz w:val="22"/>
          <w:szCs w:val="22"/>
        </w:rPr>
        <w:t xml:space="preserve">Performative  </w:t>
      </w:r>
      <w:r>
        <w:rPr>
          <w:rFonts w:ascii="Georgia" w:cs="Georgia" w:eastAsia="Georgia" w:hAnsi="Georgia"/>
          <w:color w:val="4B5563"/>
          <w:sz w:val="22"/>
          <w:szCs w:val="22"/>
        </w:rPr>
        <w:t xml:space="preserve">The saying is the doing: vows, apologies, declarations, testimony.</w:t>
      </w:r>
    </w:p>
    <w:p>
      <w:pPr>
        <w:spacing w:before="100" w:after="100"/>
        <w:ind w:left="240"/>
      </w:pPr>
      <w:r>
        <w:rPr>
          <w:rFonts w:ascii="Courier New" w:cs="Courier New" w:eastAsia="Courier New" w:hAnsi="Courier New"/>
          <w:b/>
          <w:bCs/>
          <w:color w:val="2563EB"/>
          <w:sz w:val="22"/>
          <w:szCs w:val="22"/>
        </w:rPr>
        <w:t xml:space="preserve">Exploratory  </w:t>
      </w:r>
      <w:r>
        <w:rPr>
          <w:rFonts w:ascii="Georgia" w:cs="Georgia" w:eastAsia="Georgia" w:hAnsi="Georgia"/>
          <w:color w:val="4B5563"/>
          <w:sz w:val="22"/>
          <w:szCs w:val="22"/>
        </w:rPr>
        <w:t xml:space="preserve">No fixed destination: inquiry, therapy, creativity, spiritual practice.</w:t>
      </w:r>
    </w:p>
    <w:p>
      <w:pPr>
        <w:spacing w:before="100" w:after="100"/>
        <w:ind w:left="240"/>
      </w:pPr>
      <w:r>
        <w:rPr>
          <w:rFonts w:ascii="Courier New" w:cs="Courier New" w:eastAsia="Courier New" w:hAnsi="Courier New"/>
          <w:b/>
          <w:bCs/>
          <w:color w:val="2563EB"/>
          <w:sz w:val="22"/>
          <w:szCs w:val="22"/>
        </w:rPr>
        <w:t xml:space="preserve">Procedural  </w:t>
      </w:r>
      <w:r>
        <w:rPr>
          <w:rFonts w:ascii="Georgia" w:cs="Georgia" w:eastAsia="Georgia" w:hAnsi="Georgia"/>
          <w:color w:val="4B5563"/>
          <w:sz w:val="22"/>
          <w:szCs w:val="22"/>
        </w:rPr>
        <w:t xml:space="preserve">A process must be followed: intake, compliance, ritual, ceremony.</w:t>
      </w:r>
    </w:p>
    <w:p>
      <w:pPr>
        <w:spacing w:before="100" w:after="100"/>
        <w:ind w:left="240"/>
      </w:pPr>
      <w:r>
        <w:rPr>
          <w:rFonts w:ascii="Courier New" w:cs="Courier New" w:eastAsia="Courier New" w:hAnsi="Courier New"/>
          <w:b/>
          <w:bCs/>
          <w:color w:val="2563EB"/>
          <w:sz w:val="22"/>
          <w:szCs w:val="22"/>
        </w:rPr>
        <w:t xml:space="preserve">Adversarial  </w:t>
      </w:r>
      <w:r>
        <w:rPr>
          <w:rFonts w:ascii="Georgia" w:cs="Georgia" w:eastAsia="Georgia" w:hAnsi="Georgia"/>
          <w:color w:val="4B5563"/>
          <w:sz w:val="22"/>
          <w:szCs w:val="22"/>
        </w:rPr>
        <w:t xml:space="preserve">Parties have opposing interests: negotiation, conflict, litigation, debate.</w:t>
      </w:r>
    </w:p>
    <w:p>
      <w:pPr>
        <w:spacing w:before="100" w:after="100"/>
        <w:ind w:left="240"/>
      </w:pPr>
      <w:r>
        <w:rPr>
          <w:rFonts w:ascii="Courier New" w:cs="Courier New" w:eastAsia="Courier New" w:hAnsi="Courier New"/>
          <w:b/>
          <w:bCs/>
          <w:color w:val="2563EB"/>
          <w:sz w:val="22"/>
          <w:szCs w:val="22"/>
        </w:rPr>
        <w:t xml:space="preserve">Restorative  </w:t>
      </w:r>
      <w:r>
        <w:rPr>
          <w:rFonts w:ascii="Georgia" w:cs="Georgia" w:eastAsia="Georgia" w:hAnsi="Georgia"/>
          <w:color w:val="4B5563"/>
          <w:sz w:val="22"/>
          <w:szCs w:val="22"/>
        </w:rPr>
        <w:t xml:space="preserve">Something broken is being repaired: apology, forgiveness, mediation, grief.</w:t>
      </w:r>
    </w:p>
    <w:p>
      <w:pPr>
        <w:spacing w:before="100" w:after="100"/>
        <w:ind w:left="240"/>
      </w:pPr>
      <w:r>
        <w:rPr>
          <w:rFonts w:ascii="Courier New" w:cs="Courier New" w:eastAsia="Courier New" w:hAnsi="Courier New"/>
          <w:b/>
          <w:bCs/>
          <w:color w:val="2563EB"/>
          <w:sz w:val="22"/>
          <w:szCs w:val="22"/>
        </w:rPr>
        <w:t xml:space="preserve">Generative  </w:t>
      </w:r>
      <w:r>
        <w:rPr>
          <w:rFonts w:ascii="Georgia" w:cs="Georgia" w:eastAsia="Georgia" w:hAnsi="Georgia"/>
          <w:color w:val="4B5563"/>
          <w:sz w:val="22"/>
          <w:szCs w:val="22"/>
        </w:rPr>
        <w:t xml:space="preserve">Something new is being created: collaboration, brainstorming, co-authorship.</w:t>
      </w:r>
    </w:p>
    <w:p>
      <w:pPr>
        <w:spacing w:before="100" w:after="100"/>
        <w:ind w:left="240"/>
      </w:pPr>
      <w:r>
        <w:rPr>
          <w:rFonts w:ascii="Courier New" w:cs="Courier New" w:eastAsia="Courier New" w:hAnsi="Courier New"/>
          <w:b/>
          <w:bCs/>
          <w:color w:val="2563EB"/>
          <w:sz w:val="22"/>
          <w:szCs w:val="22"/>
        </w:rPr>
        <w:t xml:space="preserve">Evaluative  </w:t>
      </w:r>
      <w:r>
        <w:rPr>
          <w:rFonts w:ascii="Georgia" w:cs="Georgia" w:eastAsia="Georgia" w:hAnsi="Georgia"/>
          <w:color w:val="4B5563"/>
          <w:sz w:val="22"/>
          <w:szCs w:val="22"/>
        </w:rPr>
        <w:t xml:space="preserve">Something is being assessed: interview, audit, review, diagnosis.</w:t>
      </w:r>
    </w:p>
    <w:p>
      <w:pPr>
        <w:spacing w:before="240" w:after="0"/>
      </w:pPr>
      <w:r>
        <w:t xml:space="preserve"/>
      </w:r>
    </w:p>
    <w:p>
      <w:pPr>
        <w:pBdr>
          <w:bottom w:val="single" w:color="2563EB" w:sz="8" w:space="1"/>
        </w:pBdr>
        <w:spacing w:before="0" w:after="240"/>
      </w:pPr>
    </w:p>
    <w:p>
      <w:pPr>
        <w:spacing w:before="240" w:after="0"/>
      </w:pPr>
      <w:r>
        <w:t xml:space="preserve"/>
      </w:r>
    </w:p>
    <w:p>
      <w:pPr>
        <w:spacing w:before="0" w:after="80"/>
      </w:pPr>
      <w:r>
        <w:rPr>
          <w:rFonts w:ascii="Arial" w:cs="Arial" w:eastAsia="Arial" w:hAnsi="Arial"/>
          <w:b/>
          <w:bCs/>
          <w:color w:val="060A0D"/>
          <w:sz w:val="40"/>
          <w:szCs w:val="40"/>
        </w:rPr>
        <w:t xml:space="preserve">The Full Map</w:t>
      </w:r>
    </w:p>
    <w:p>
      <w:pPr>
        <w:spacing w:before="0" w:after="480"/>
      </w:pPr>
      <w:r>
        <w:rPr>
          <w:rFonts w:ascii="Georgia" w:cs="Georgia" w:eastAsia="Georgia" w:hAnsi="Georgia"/>
          <w:i/>
          <w:iCs/>
          <w:color w:val="4B5563"/>
          <w:sz w:val="24"/>
          <w:szCs w:val="24"/>
        </w:rPr>
        <w:t xml:space="preserve">Eight tiers, organized by party structure. Every distinct category of human interactive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1</w:t>
            </w:r>
          </w:p>
          <w:p>
            <w:pPr>
              <w:spacing w:before="0" w:after="60"/>
            </w:pPr>
            <w:r>
              <w:rPr>
                <w:rFonts w:ascii="Arial" w:cs="Arial" w:eastAsia="Arial" w:hAnsi="Arial"/>
                <w:b/>
                <w:bCs/>
                <w:color w:val="FFFFFF"/>
                <w:sz w:val="30"/>
                <w:szCs w:val="30"/>
              </w:rPr>
              <w:t xml:space="preserve">Self-Directed</w:t>
            </w:r>
          </w:p>
          <w:p>
            <w:pPr>
              <w:spacing w:before="0" w:after="0"/>
            </w:pPr>
            <w:r>
              <w:rPr>
                <w:rFonts w:ascii="Georgia" w:cs="Georgia" w:eastAsia="Georgia" w:hAnsi="Georgia"/>
                <w:i/>
                <w:iCs/>
                <w:color w:val="DBEAFE"/>
                <w:sz w:val="22"/>
                <w:szCs w:val="22"/>
              </w:rPr>
              <w:t xml:space="preserve">Self ↔ Self  —  The inner life as governed experience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75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Identity</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Values, purpose, self-concept, who am I, what do I believe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Decision</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Major choice frameworks, pro/con depth, values alignment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Reflection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Day review, year review, life audit, milestone meaning-making</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Aspiration</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Goal-setting, vision, legacy, what do I want to build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Shadow</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Fear inventory, regret processing, self-forgiveness, internal conflict</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Ritual</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Daily intention, evening close, weekly review, seasonal threshold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Transition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Endings and beginnings: divorce, job loss, sobriety, relocation</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Mortality</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Death meditation, legacy letter, end-of-life wishes, grief</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1D48"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2</w:t>
            </w:r>
          </w:p>
          <w:p>
            <w:pPr>
              <w:spacing w:before="0" w:after="60"/>
            </w:pPr>
            <w:r>
              <w:rPr>
                <w:rFonts w:ascii="Arial" w:cs="Arial" w:eastAsia="Arial" w:hAnsi="Arial"/>
                <w:b/>
                <w:bCs/>
                <w:color w:val="FFFFFF"/>
                <w:sz w:val="30"/>
                <w:szCs w:val="30"/>
              </w:rPr>
              <w:t xml:space="preserve">Dyadic — Intimate</w:t>
            </w:r>
          </w:p>
          <w:p>
            <w:pPr>
              <w:spacing w:before="0" w:after="0"/>
            </w:pPr>
            <w:r>
              <w:rPr>
                <w:rFonts w:ascii="Georgia" w:cs="Georgia" w:eastAsia="Georgia" w:hAnsi="Georgia"/>
                <w:i/>
                <w:iCs/>
                <w:color w:val="DBEAFE"/>
                <w:sz w:val="22"/>
                <w:szCs w:val="22"/>
              </w:rPr>
              <w:t xml:space="preserve">Self ↔ One, high relational stakes  —  The most consequential interpersonal territory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75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Romantic</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Compatibility, love languages, relationship check-in, commitment</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Repair</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Apology, forgiveness, rupture-and-repair, accountability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Conflict</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Difficult conversation prep, boundary-setting, confrontation</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Intimacy</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Vulnerability, disclosure, trust-building, attachment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Ending</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Breakup, divorce, estrangement, grief of a relationship</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Parenting</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Parent-child conversation, discipline, milestone, letting go</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Friendship</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Deepening, repair, ending, loneliness, new connection</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Mentorship</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Guide and student, wisdom transfer, challenge and growth</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Caregiving</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Elder care, illness support, caregiver burnout, role transition</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3</w:t>
            </w:r>
          </w:p>
          <w:p>
            <w:pPr>
              <w:spacing w:before="0" w:after="60"/>
            </w:pPr>
            <w:r>
              <w:rPr>
                <w:rFonts w:ascii="Arial" w:cs="Arial" w:eastAsia="Arial" w:hAnsi="Arial"/>
                <w:b/>
                <w:bCs/>
                <w:color w:val="FFFFFF"/>
                <w:sz w:val="30"/>
                <w:szCs w:val="30"/>
              </w:rPr>
              <w:t xml:space="preserve">Dyadic — Professional (Inverse)</w:t>
            </w:r>
          </w:p>
          <w:p>
            <w:pPr>
              <w:spacing w:before="0" w:after="0"/>
            </w:pPr>
            <w:r>
              <w:rPr>
                <w:rFonts w:ascii="Georgia" w:cs="Georgia" w:eastAsia="Georgia" w:hAnsi="Georgia"/>
                <w:i/>
                <w:iCs/>
                <w:color w:val="DBEAFE"/>
                <w:sz w:val="22"/>
                <w:szCs w:val="22"/>
              </w:rPr>
              <w:t xml:space="preserve">Self ↔ One, asymmetric expertise  —  The professional library from the other side</w:t>
            </w:r>
          </w:p>
        </w:tc>
      </w:tr>
    </w:tbl>
    <w:p>
      <w:pPr>
        <w:spacing w:before="80" w:after="0"/>
      </w:pPr>
      <w:r>
        <w:t xml:space="preserve"/>
      </w:r>
    </w:p>
    <w:p>
      <w:pPr>
        <w:spacing w:before="0" w:after="200"/>
      </w:pPr>
      <w:r>
        <w:rPr>
          <w:rFonts w:ascii="Georgia" w:cs="Georgia" w:eastAsia="Georgia" w:hAnsi="Georgia"/>
          <w:color w:val="1F2937"/>
          <w:sz w:val="24"/>
          <w:szCs w:val="24"/>
        </w:rPr>
        <w:t xml:space="preserve">The professional library covers the practitioner side. These packs cover the client, patient, student, and job seeker — the same interactions, governed from the position of need rather than expertise.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51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c>
          <w:tcPr>
            <w:tcW w:type="dxa" w:w="24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Client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The client experience of legal, medical, therapy, consulting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i/>
                <w:iCs/>
                <w:color w:val="9CA3AF"/>
                <w:sz w:val="18"/>
                <w:szCs w:val="18"/>
              </w:rPr>
              <w:t xml:space="preserve">Inverse of professional library</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Job Seeker</w:t>
            </w:r>
          </w:p>
        </w:tc>
        <w:tc>
          <w:tcPr>
            <w:tcW w:type="dxa" w:w="51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Interview prep, negotiation, offer evaluation, rejection</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i/>
                <w:iCs/>
                <w:color w:val="9CA3AF"/>
                <w:sz w:val="18"/>
                <w:szCs w:val="18"/>
              </w:rPr>
              <w:t xml:space="preserve">Inverse of HR packs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Patient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Health literacy, symptom understanding, care navigation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i/>
                <w:iCs/>
                <w:color w:val="9CA3AF"/>
                <w:sz w:val="18"/>
                <w:szCs w:val="18"/>
              </w:rPr>
              <w:t xml:space="preserve">Inverse of medical packs</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Student</w:t>
            </w:r>
          </w:p>
        </w:tc>
        <w:tc>
          <w:tcPr>
            <w:tcW w:type="dxa" w:w="51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Learning intake, study design, exam prep, academic distress</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i/>
                <w:iCs/>
                <w:color w:val="9CA3AF"/>
                <w:sz w:val="18"/>
                <w:szCs w:val="18"/>
              </w:rPr>
              <w:t xml:space="preserve">Inverse of education packs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Tenant/Buyer</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Real estate navigation from the non-professional side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i/>
                <w:iCs/>
                <w:color w:val="9CA3AF"/>
                <w:sz w:val="18"/>
                <w:szCs w:val="18"/>
              </w:rPr>
              <w:t xml:space="preserve">Inverse of real estate packs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4</w:t>
            </w:r>
          </w:p>
          <w:p>
            <w:pPr>
              <w:spacing w:before="0" w:after="60"/>
            </w:pPr>
            <w:r>
              <w:rPr>
                <w:rFonts w:ascii="Arial" w:cs="Arial" w:eastAsia="Arial" w:hAnsi="Arial"/>
                <w:b/>
                <w:bCs/>
                <w:color w:val="FFFFFF"/>
                <w:sz w:val="30"/>
                <w:szCs w:val="30"/>
              </w:rPr>
              <w:t xml:space="preserve">Small Group</w:t>
            </w:r>
          </w:p>
          <w:p>
            <w:pPr>
              <w:spacing w:before="0" w:after="0"/>
            </w:pPr>
            <w:r>
              <w:rPr>
                <w:rFonts w:ascii="Georgia" w:cs="Georgia" w:eastAsia="Georgia" w:hAnsi="Georgia"/>
                <w:i/>
                <w:iCs/>
                <w:color w:val="DBEAFE"/>
                <w:sz w:val="22"/>
                <w:szCs w:val="22"/>
              </w:rPr>
              <w:t xml:space="preserve">Self ↔ Few  —  The family, team, and circle as governed experience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75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Family System</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Family meeting, conflict, roles, legacy, holiday dynamics</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Team</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Culture assessment, retrospective, trust, conflict, offsite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Circle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Peer group, support circle, community of practice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Partnership</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Co-founder, business partner, creative collaboration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Tribunal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Decision-making body, jury, panel, review board</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Ceremony</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Group ritual, graduation, memorial, celebration, passage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5</w:t>
            </w:r>
          </w:p>
          <w:p>
            <w:pPr>
              <w:spacing w:before="0" w:after="60"/>
            </w:pPr>
            <w:r>
              <w:rPr>
                <w:rFonts w:ascii="Arial" w:cs="Arial" w:eastAsia="Arial" w:hAnsi="Arial"/>
                <w:b/>
                <w:bCs/>
                <w:color w:val="FFFFFF"/>
                <w:sz w:val="30"/>
                <w:szCs w:val="30"/>
              </w:rPr>
              <w:t xml:space="preserve">Public and Institutional</w:t>
            </w:r>
          </w:p>
          <w:p>
            <w:pPr>
              <w:spacing w:before="0" w:after="0"/>
            </w:pPr>
            <w:r>
              <w:rPr>
                <w:rFonts w:ascii="Georgia" w:cs="Georgia" w:eastAsia="Georgia" w:hAnsi="Georgia"/>
                <w:i/>
                <w:iCs/>
                <w:color w:val="DBEAFE"/>
                <w:sz w:val="22"/>
                <w:szCs w:val="22"/>
              </w:rPr>
              <w:t xml:space="preserve">Self ↔ Many / Self ↔ System  —  The citizen and public face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51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c>
          <w:tcPr>
            <w:tcW w:type="dxa" w:w="24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Civic</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Voting, public comment, community engagement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i/>
                <w:iCs/>
                <w:color w:val="9CA3AF"/>
                <w:sz w:val="18"/>
                <w:szCs w:val="18"/>
              </w:rPr>
              <w:t xml:space="preserve">Government packs cover the institutional side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Advocacy</w:t>
            </w:r>
          </w:p>
        </w:tc>
        <w:tc>
          <w:tcPr>
            <w:tcW w:type="dxa" w:w="51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Making a case, persuasion, organizing</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i/>
                <w:iCs/>
                <w:color w:val="9CA3AF"/>
                <w:sz w:val="18"/>
                <w:szCs w:val="18"/>
              </w:rPr>
              <w:t xml:space="preserve">New — not yet covered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Performance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Public speaking, presentation prep, stage fright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i/>
                <w:iCs/>
                <w:color w:val="9CA3AF"/>
                <w:sz w:val="18"/>
                <w:szCs w:val="18"/>
              </w:rPr>
              <w:t xml:space="preserve">New — not yet covered</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Reputation</w:t>
            </w:r>
          </w:p>
        </w:tc>
        <w:tc>
          <w:tcPr>
            <w:tcW w:type="dxa" w:w="51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Crisis, apology, public accountability</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i/>
                <w:iCs/>
                <w:color w:val="9CA3AF"/>
                <w:sz w:val="18"/>
                <w:szCs w:val="18"/>
              </w:rPr>
              <w:t xml:space="preserve">New — not yet covered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Legacy</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Public record, memoir, oral history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i/>
                <w:iCs/>
                <w:color w:val="9CA3AF"/>
                <w:sz w:val="18"/>
                <w:szCs w:val="18"/>
              </w:rPr>
              <w:t xml:space="preserve">Partial — personal/creative packs touch this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6</w:t>
            </w:r>
          </w:p>
          <w:p>
            <w:pPr>
              <w:spacing w:before="0" w:after="60"/>
            </w:pPr>
            <w:r>
              <w:rPr>
                <w:rFonts w:ascii="Arial" w:cs="Arial" w:eastAsia="Arial" w:hAnsi="Arial"/>
                <w:b/>
                <w:bCs/>
                <w:color w:val="FFFFFF"/>
                <w:sz w:val="30"/>
                <w:szCs w:val="30"/>
              </w:rPr>
              <w:t xml:space="preserve">Temporal</w:t>
            </w:r>
          </w:p>
          <w:p>
            <w:pPr>
              <w:spacing w:before="0" w:after="0"/>
            </w:pPr>
            <w:r>
              <w:rPr>
                <w:rFonts w:ascii="Georgia" w:cs="Georgia" w:eastAsia="Georgia" w:hAnsi="Georgia"/>
                <w:i/>
                <w:iCs/>
                <w:color w:val="DBEAFE"/>
                <w:sz w:val="22"/>
                <w:szCs w:val="22"/>
              </w:rPr>
              <w:t xml:space="preserve">Self ↔ Time  —  The relationship to past, present, and future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75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Past</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Memory, regret, gratitude, nostalgia, historical reckoning</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Present</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Mindfulness, presence, attention, sensory experience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Future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Planning, anxiety, hope, scenario thinking, preparation</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Threshold</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The moment of crossing: before and after, rite of passage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Grief</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Loss of any kind — person, role, possibility, self-concept</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Celebration</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Marking what matters, anniversary, achievement, joy</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7</w:t>
            </w:r>
          </w:p>
          <w:p>
            <w:pPr>
              <w:spacing w:before="0" w:after="60"/>
            </w:pPr>
            <w:r>
              <w:rPr>
                <w:rFonts w:ascii="Arial" w:cs="Arial" w:eastAsia="Arial" w:hAnsi="Arial"/>
                <w:b/>
                <w:bCs/>
                <w:color w:val="FFFFFF"/>
                <w:sz w:val="30"/>
                <w:szCs w:val="30"/>
              </w:rPr>
              <w:t xml:space="preserve">Exploratory and Generative</w:t>
            </w:r>
          </w:p>
          <w:p>
            <w:pPr>
              <w:spacing w:before="0" w:after="0"/>
            </w:pPr>
            <w:r>
              <w:rPr>
                <w:rFonts w:ascii="Georgia" w:cs="Georgia" w:eastAsia="Georgia" w:hAnsi="Georgia"/>
                <w:i/>
                <w:iCs/>
                <w:color w:val="DBEAFE"/>
                <w:sz w:val="22"/>
                <w:szCs w:val="22"/>
              </w:rPr>
              <w:t xml:space="preserve">Open-ended, destination-unknown interactions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75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Creative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Making something: story, art, music, invention</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Philosophical</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Inquiry without resolution: ethics, meaning, beauty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Spiritual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Practice, prayer, contemplation, encounter with mystery</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Play</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Games, improvisation, imagination, the not-serious-but-real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Discovery</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Research, exploration, curiosity, wonder</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Dream</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The unconscious: dream interpretation, symbol, intuition</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240"/>
              <w:left w:type="dxa" w:w="360"/>
              <w:bottom w:type="dxa" w:w="240"/>
              <w:right w:type="dxa" w:w="360"/>
            </w:tcMar>
          </w:tcPr>
          <w:p>
            <w:pPr>
              <w:spacing w:before="0" w:after="40"/>
            </w:pPr>
            <w:r>
              <w:rPr>
                <w:rFonts w:ascii="Arial" w:cs="Arial" w:eastAsia="Arial" w:hAnsi="Arial"/>
                <w:b/>
                <w:bCs/>
                <w:color w:val="FFFFFF"/>
                <w:spacing w:val="40"/>
                <w:sz w:val="18"/>
                <w:szCs w:val="18"/>
              </w:rPr>
              <w:t xml:space="preserve">TIER 8</w:t>
            </w:r>
          </w:p>
          <w:p>
            <w:pPr>
              <w:spacing w:before="0" w:after="60"/>
            </w:pPr>
            <w:r>
              <w:rPr>
                <w:rFonts w:ascii="Arial" w:cs="Arial" w:eastAsia="Arial" w:hAnsi="Arial"/>
                <w:b/>
                <w:bCs/>
                <w:color w:val="FFFFFF"/>
                <w:sz w:val="30"/>
                <w:szCs w:val="30"/>
              </w:rPr>
              <w:t xml:space="preserve">Body and Embodiment</w:t>
            </w:r>
          </w:p>
          <w:p>
            <w:pPr>
              <w:spacing w:before="0" w:after="0"/>
            </w:pPr>
            <w:r>
              <w:rPr>
                <w:rFonts w:ascii="Georgia" w:cs="Georgia" w:eastAsia="Georgia" w:hAnsi="Georgia"/>
                <w:i/>
                <w:iCs/>
                <w:color w:val="DBEAFE"/>
                <w:sz w:val="22"/>
                <w:szCs w:val="22"/>
              </w:rPr>
              <w:t xml:space="preserve">The interaction between self and physical existence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CATEGORY</w:t>
            </w:r>
          </w:p>
        </w:tc>
        <w:tc>
          <w:tcPr>
            <w:tcW w:type="dxa" w:w="75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WHAT IT COVERS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Health Behavior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Habit, sleep, movement, nutrition, substance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Chronic Condition</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Living with illness, adaptation, identity, advocacy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Aging</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Body change, capacity loss, mortality approach, vitality</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Sexuality</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Identity, practice, communication, health</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60A0D"/>
                <w:sz w:val="20"/>
                <w:szCs w:val="20"/>
              </w:rPr>
              <w:t xml:space="preserve">Neurodiversity</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Georgia" w:cs="Georgia" w:eastAsia="Georgia" w:hAnsi="Georgia"/>
                <w:color w:val="4B5563"/>
                <w:sz w:val="20"/>
                <w:szCs w:val="20"/>
              </w:rPr>
              <w:t xml:space="preserve">Understanding, accommodation, advocacy, self-knowledge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Arial" w:cs="Arial" w:eastAsia="Arial" w:hAnsi="Arial"/>
                <w:b/>
                <w:bCs/>
                <w:color w:val="060A0D"/>
                <w:sz w:val="20"/>
                <w:szCs w:val="20"/>
              </w:rPr>
              <w:t xml:space="preserve">Trauma and Body</w:t>
            </w:r>
          </w:p>
        </w:tc>
        <w:tc>
          <w:tcPr>
            <w:tcW w:type="dxa" w:w="75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Georgia" w:cs="Georgia" w:eastAsia="Georgia" w:hAnsi="Georgia"/>
                <w:color w:val="4B5563"/>
                <w:sz w:val="20"/>
                <w:szCs w:val="20"/>
              </w:rPr>
              <w:t xml:space="preserve">Somatic awareness, nervous system, embodied recovery</w:t>
            </w:r>
          </w:p>
        </w:tc>
      </w:tr>
    </w:tbl>
    <w:p>
      <w:pPr>
        <w:spacing w:before="240" w:after="0"/>
      </w:pPr>
      <w:r>
        <w:t xml:space="preserve"/>
      </w:r>
    </w:p>
    <w:p>
      <w:pPr>
        <w:pBdr>
          <w:bottom w:val="single" w:color="2563EB" w:sz="8" w:space="1"/>
        </w:pBdr>
        <w:spacing w:before="0" w:after="240"/>
      </w:pPr>
    </w:p>
    <w:p>
      <w:pPr>
        <w:spacing w:before="240" w:after="0"/>
      </w:pPr>
      <w:r>
        <w:t xml:space="preserve"/>
      </w:r>
    </w:p>
    <w:p>
      <w:pPr>
        <w:pStyle w:val="Heading1"/>
        <w:spacing w:before="480" w:after="120"/>
      </w:pPr>
      <w:r>
        <w:rPr>
          <w:rFonts w:ascii="Arial" w:cs="Arial" w:eastAsia="Arial" w:hAnsi="Arial"/>
          <w:b/>
          <w:bCs/>
          <w:color w:val="060A0D"/>
          <w:sz w:val="36"/>
          <w:szCs w:val="36"/>
        </w:rPr>
        <w:t xml:space="preserve">The Gaps in the Current Library</w:t>
      </w:r>
    </w:p>
    <w:p>
      <w:pPr>
        <w:spacing w:before="0" w:after="200"/>
      </w:pPr>
      <w:r>
        <w:rPr>
          <w:rFonts w:ascii="Georgia" w:cs="Georgia" w:eastAsia="Georgia" w:hAnsi="Georgia"/>
          <w:color w:val="1F2937"/>
          <w:sz w:val="24"/>
          <w:szCs w:val="24"/>
        </w:rPr>
        <w:t xml:space="preserve">Cross-referencing with the existing pack library reveals the shape of the uncovered territory.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COVERAGE</w:t>
            </w:r>
          </w:p>
        </w:tc>
        <w:tc>
          <w:tcPr>
            <w:tcW w:type="dxa" w:w="576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TERRITORY</w:t>
            </w:r>
          </w:p>
        </w:tc>
        <w:tc>
          <w:tcPr>
            <w:tcW w:type="dxa" w:w="2000"/>
            <w:tcBorders>
              <w:top w:val="single" w:color="E5E7EB" w:sz="1"/>
              <w:left w:val="single" w:color="E5E7EB" w:sz="1"/>
              <w:bottom w:val="single" w:color="E5E7EB" w:sz="1"/>
              <w:right w:val="single" w:color="E5E7EB" w:sz="1"/>
            </w:tcBorders>
            <w:shd w:fill="1E293B" w:val="clear"/>
            <w:tcMar>
              <w:top w:type="dxa" w:w="80"/>
              <w:left w:type="dxa" w:w="160"/>
              <w:bottom w:type="dxa" w:w="80"/>
              <w:right w:type="dxa" w:w="160"/>
            </w:tcMar>
          </w:tcPr>
          <w:p>
            <w:r>
              <w:rPr>
                <w:rFonts w:ascii="Arial" w:cs="Arial" w:eastAsia="Arial" w:hAnsi="Arial"/>
                <w:b/>
                <w:bCs/>
                <w:color w:val="FFFFFF"/>
                <w:spacing w:val="20"/>
                <w:sz w:val="16"/>
                <w:szCs w:val="16"/>
              </w:rPr>
              <w:t xml:space="preserve">SCOPE</w:t>
            </w:r>
          </w:p>
        </w:tc>
      </w:tr>
      <w:tr>
        <w:tc>
          <w:tcPr>
            <w:tcW w:type="dxa" w:w="1600"/>
            <w:tcBorders>
              <w:top w:val="single" w:color="E5E7EB" w:sz="1"/>
              <w:left w:val="single" w:color="E5E7EB" w:sz="1"/>
              <w:bottom w:val="single" w:color="E5E7EB" w:sz="1"/>
              <w:right w:val="single" w:color="E5E7EB" w:sz="1"/>
            </w:tcBorders>
            <w:shd w:fill="16A34A" w:val="clear"/>
            <w:tcMar>
              <w:top w:type="dxa" w:w="120"/>
              <w:left w:type="dxa" w:w="160"/>
              <w:bottom w:type="dxa" w:w="120"/>
              <w:right w:type="dxa" w:w="160"/>
            </w:tcMar>
          </w:tcPr>
          <w:p>
            <w:r>
              <w:rPr>
                <w:rFonts w:ascii="Arial" w:cs="Arial" w:eastAsia="Arial" w:hAnsi="Arial"/>
                <w:b/>
                <w:bCs/>
                <w:color w:val="FFFFFF"/>
                <w:sz w:val="18"/>
                <w:szCs w:val="18"/>
              </w:rPr>
              <w:t xml:space="preserve">Well covered</w:t>
            </w:r>
          </w:p>
        </w:tc>
        <w:tc>
          <w:tcPr>
            <w:tcW w:type="dxa" w:w="5760"/>
            <w:tcBorders>
              <w:top w:val="single" w:color="E5E7EB" w:sz="1"/>
              <w:left w:val="single" w:color="E5E7EB" w:sz="1"/>
              <w:bottom w:val="single" w:color="E5E7EB" w:sz="1"/>
              <w:right w:val="single" w:color="E5E7EB" w:sz="1"/>
            </w:tcBorders>
            <w:shd w:fill="F8FAFC" w:val="clear"/>
            <w:tcMar>
              <w:top w:type="dxa" w:w="120"/>
              <w:left w:type="dxa" w:w="160"/>
              <w:bottom w:type="dxa" w:w="120"/>
              <w:right w:type="dxa" w:w="160"/>
            </w:tcMar>
          </w:tcPr>
          <w:p>
            <w:r>
              <w:rPr>
                <w:rFonts w:ascii="Georgia" w:cs="Georgia" w:eastAsia="Georgia" w:hAnsi="Georgia"/>
                <w:color w:val="4B5563"/>
                <w:sz w:val="20"/>
                <w:szCs w:val="20"/>
              </w:rPr>
              <w:t xml:space="preserve">Professional intake across every regulated domain. The practitioner side of asymmetric expert-to-client interactions.</w:t>
            </w:r>
          </w:p>
        </w:tc>
        <w:tc>
          <w:tcPr>
            <w:tcW w:type="dxa" w:w="2000"/>
            <w:tcBorders>
              <w:top w:val="single" w:color="E5E7EB" w:sz="1"/>
              <w:left w:val="single" w:color="E5E7EB" w:sz="1"/>
              <w:bottom w:val="single" w:color="E5E7EB" w:sz="1"/>
              <w:right w:val="single" w:color="E5E7EB" w:sz="1"/>
            </w:tcBorders>
            <w:shd w:fill="F8FAFC" w:val="clear"/>
            <w:tcMar>
              <w:top w:type="dxa" w:w="120"/>
              <w:left w:type="dxa" w:w="160"/>
              <w:bottom w:type="dxa" w:w="120"/>
              <w:right w:type="dxa" w:w="160"/>
            </w:tcMar>
          </w:tcPr>
          <w:p>
            <w:r>
              <w:rPr>
                <w:rFonts w:ascii="Courier New" w:cs="Courier New" w:eastAsia="Courier New" w:hAnsi="Courier New"/>
                <w:b/>
                <w:bCs/>
                <w:color w:val="060A0D"/>
                <w:sz w:val="18"/>
                <w:szCs w:val="18"/>
              </w:rPr>
              <w:t xml:space="preserve">0 packs remaining</w:t>
            </w:r>
          </w:p>
        </w:tc>
      </w:tr>
      <w:tr>
        <w:tc>
          <w:tcPr>
            <w:tcW w:type="dxa" w:w="1600"/>
            <w:tcBorders>
              <w:top w:val="single" w:color="E5E7EB" w:sz="1"/>
              <w:left w:val="single" w:color="E5E7EB" w:sz="1"/>
              <w:bottom w:val="single" w:color="E5E7EB" w:sz="1"/>
              <w:right w:val="single" w:color="E5E7EB" w:sz="1"/>
            </w:tcBorders>
            <w:shd w:fill="D97706" w:val="clear"/>
            <w:tcMar>
              <w:top w:type="dxa" w:w="120"/>
              <w:left w:type="dxa" w:w="160"/>
              <w:bottom w:type="dxa" w:w="120"/>
              <w:right w:type="dxa" w:w="160"/>
            </w:tcMar>
          </w:tcPr>
          <w:p>
            <w:r>
              <w:rPr>
                <w:rFonts w:ascii="Arial" w:cs="Arial" w:eastAsia="Arial" w:hAnsi="Arial"/>
                <w:b/>
                <w:bCs/>
                <w:color w:val="FFFFFF"/>
                <w:sz w:val="18"/>
                <w:szCs w:val="18"/>
              </w:rPr>
              <w:t xml:space="preserve">Partially covered</w:t>
            </w:r>
          </w:p>
        </w:tc>
        <w:tc>
          <w:tcPr>
            <w:tcW w:type="dxa" w:w="5760"/>
            <w:tcBorders>
              <w:top w:val="single" w:color="E5E7EB" w:sz="1"/>
              <w:left w:val="single" w:color="E5E7EB" w:sz="1"/>
              <w:bottom w:val="single" w:color="E5E7EB" w:sz="1"/>
              <w:right w:val="single" w:color="E5E7EB" w:sz="1"/>
            </w:tcBorders>
            <w:shd w:fill="F8FAFC" w:val="clear"/>
            <w:tcMar>
              <w:top w:type="dxa" w:w="120"/>
              <w:left w:type="dxa" w:w="160"/>
              <w:bottom w:type="dxa" w:w="120"/>
              <w:right w:type="dxa" w:w="160"/>
            </w:tcMar>
          </w:tcPr>
          <w:p>
            <w:r>
              <w:rPr>
                <w:rFonts w:ascii="Georgia" w:cs="Georgia" w:eastAsia="Georgia" w:hAnsi="Georgia"/>
                <w:color w:val="4B5563"/>
                <w:sz w:val="20"/>
                <w:szCs w:val="20"/>
              </w:rPr>
              <w:t xml:space="preserve">Personal coaching (life, career, nutrition, sleep, spiritual, stress). Games and simulations. Mental health (clinical side).</w:t>
            </w:r>
          </w:p>
        </w:tc>
        <w:tc>
          <w:tcPr>
            <w:tcW w:type="dxa" w:w="2000"/>
            <w:tcBorders>
              <w:top w:val="single" w:color="E5E7EB" w:sz="1"/>
              <w:left w:val="single" w:color="E5E7EB" w:sz="1"/>
              <w:bottom w:val="single" w:color="E5E7EB" w:sz="1"/>
              <w:right w:val="single" w:color="E5E7EB" w:sz="1"/>
            </w:tcBorders>
            <w:shd w:fill="F8FAFC" w:val="clear"/>
            <w:tcMar>
              <w:top w:type="dxa" w:w="120"/>
              <w:left w:type="dxa" w:w="160"/>
              <w:bottom w:type="dxa" w:w="120"/>
              <w:right w:type="dxa" w:w="160"/>
            </w:tcMar>
          </w:tcPr>
          <w:p>
            <w:r>
              <w:rPr>
                <w:rFonts w:ascii="Courier New" w:cs="Courier New" w:eastAsia="Courier New" w:hAnsi="Courier New"/>
                <w:b/>
                <w:bCs/>
                <w:color w:val="060A0D"/>
                <w:sz w:val="18"/>
                <w:szCs w:val="18"/>
              </w:rPr>
              <w:t xml:space="preserve">~50 packs remaining</w:t>
            </w:r>
          </w:p>
        </w:tc>
      </w:tr>
      <w:tr>
        <w:tc>
          <w:tcPr>
            <w:tcW w:type="dxa" w:w="1600"/>
            <w:tcBorders>
              <w:top w:val="single" w:color="E5E7EB" w:sz="1"/>
              <w:left w:val="single" w:color="E5E7EB" w:sz="1"/>
              <w:bottom w:val="single" w:color="E5E7EB" w:sz="1"/>
              <w:right w:val="single" w:color="E5E7EB" w:sz="1"/>
            </w:tcBorders>
            <w:shd w:fill="E11D48" w:val="clear"/>
            <w:tcMar>
              <w:top w:type="dxa" w:w="120"/>
              <w:left w:type="dxa" w:w="160"/>
              <w:bottom w:type="dxa" w:w="120"/>
              <w:right w:type="dxa" w:w="160"/>
            </w:tcMar>
          </w:tcPr>
          <w:p>
            <w:r>
              <w:rPr>
                <w:rFonts w:ascii="Arial" w:cs="Arial" w:eastAsia="Arial" w:hAnsi="Arial"/>
                <w:b/>
                <w:bCs/>
                <w:color w:val="FFFFFF"/>
                <w:sz w:val="18"/>
                <w:szCs w:val="18"/>
              </w:rPr>
              <w:t xml:space="preserve">Not yet covered</w:t>
            </w:r>
          </w:p>
        </w:tc>
        <w:tc>
          <w:tcPr>
            <w:tcW w:type="dxa" w:w="5760"/>
            <w:tcBorders>
              <w:top w:val="single" w:color="E5E7EB" w:sz="1"/>
              <w:left w:val="single" w:color="E5E7EB" w:sz="1"/>
              <w:bottom w:val="single" w:color="E5E7EB" w:sz="1"/>
              <w:right w:val="single" w:color="E5E7EB" w:sz="1"/>
            </w:tcBorders>
            <w:shd w:fill="F8FAFC" w:val="clear"/>
            <w:tcMar>
              <w:top w:type="dxa" w:w="120"/>
              <w:left w:type="dxa" w:w="160"/>
              <w:bottom w:type="dxa" w:w="120"/>
              <w:right w:type="dxa" w:w="160"/>
            </w:tcMar>
          </w:tcPr>
          <w:p>
            <w:r>
              <w:rPr>
                <w:rFonts w:ascii="Georgia" w:cs="Georgia" w:eastAsia="Georgia" w:hAnsi="Georgia"/>
                <w:color w:val="4B5563"/>
                <w:sz w:val="20"/>
                <w:szCs w:val="20"/>
              </w:rPr>
              <w:t xml:space="preserve">The entire human library: intimate/relational, small group, temporal, exploratory, embodiment, and consumer-facing inverses of the professional library.</w:t>
            </w:r>
          </w:p>
        </w:tc>
        <w:tc>
          <w:tcPr>
            <w:tcW w:type="dxa" w:w="2000"/>
            <w:tcBorders>
              <w:top w:val="single" w:color="E5E7EB" w:sz="1"/>
              <w:left w:val="single" w:color="E5E7EB" w:sz="1"/>
              <w:bottom w:val="single" w:color="E5E7EB" w:sz="1"/>
              <w:right w:val="single" w:color="E5E7EB" w:sz="1"/>
            </w:tcBorders>
            <w:shd w:fill="F8FAFC" w:val="clear"/>
            <w:tcMar>
              <w:top w:type="dxa" w:w="120"/>
              <w:left w:type="dxa" w:w="160"/>
              <w:bottom w:type="dxa" w:w="120"/>
              <w:right w:type="dxa" w:w="160"/>
            </w:tcMar>
          </w:tcPr>
          <w:p>
            <w:r>
              <w:rPr>
                <w:rFonts w:ascii="Courier New" w:cs="Courier New" w:eastAsia="Courier New" w:hAnsi="Courier New"/>
                <w:b/>
                <w:bCs/>
                <w:color w:val="060A0D"/>
                <w:sz w:val="18"/>
                <w:szCs w:val="18"/>
              </w:rPr>
              <w:t xml:space="preserve">~270 packs remaining</w:t>
            </w:r>
          </w:p>
        </w:tc>
      </w:tr>
    </w:tbl>
    <w:p>
      <w:pPr>
        <w:spacing w:before="240" w:after="0"/>
      </w:pPr>
      <w:r>
        <w:t xml:space="preserve"/>
      </w:r>
    </w:p>
    <w:p>
      <w:pPr>
        <w:spacing w:before="0" w:after="200"/>
      </w:pPr>
      <w:r>
        <w:rPr>
          <w:rFonts w:ascii="Georgia" w:cs="Georgia" w:eastAsia="Georgia" w:hAnsi="Georgia"/>
          <w:color w:val="1F2937"/>
          <w:sz w:val="24"/>
          <w:szCs w:val="24"/>
        </w:rPr>
        <w:t xml:space="preserve">The breakdown by tier:</w:t>
      </w:r>
    </w:p>
    <w:p>
      <w:pPr>
        <w:spacing w:before="40" w:after="0"/>
      </w:pPr>
      <w:r>
        <w:t xml:space="preserve"/>
      </w:r>
    </w:p>
    <w:p>
      <w:pPr>
        <w:spacing w:before="80" w:after="80"/>
        <w:ind w:left="240"/>
      </w:pPr>
      <w:r>
        <w:rPr>
          <w:rFonts w:ascii="Courier New" w:cs="Courier New" w:eastAsia="Courier New" w:hAnsi="Courier New"/>
          <w:b/>
          <w:bCs/>
          <w:color w:val="2563EB"/>
          <w:sz w:val="22"/>
          <w:szCs w:val="22"/>
        </w:rPr>
        <w:t xml:space="preserve">~70 packs  </w:t>
      </w:r>
      <w:r>
        <w:rPr>
          <w:rFonts w:ascii="Georgia" w:cs="Georgia" w:eastAsia="Georgia" w:hAnsi="Georgia"/>
          <w:color w:val="4B5563"/>
          <w:sz w:val="22"/>
          <w:szCs w:val="22"/>
        </w:rPr>
        <w:t xml:space="preserve">Tier 2 — Intimate and relational (romantic, repair, conflict, friendship, caregiving)</w:t>
      </w:r>
    </w:p>
    <w:p>
      <w:pPr>
        <w:spacing w:before="80" w:after="80"/>
        <w:ind w:left="240"/>
      </w:pPr>
      <w:r>
        <w:rPr>
          <w:rFonts w:ascii="Courier New" w:cs="Courier New" w:eastAsia="Courier New" w:hAnsi="Courier New"/>
          <w:b/>
          <w:bCs/>
          <w:color w:val="2563EB"/>
          <w:sz w:val="22"/>
          <w:szCs w:val="22"/>
        </w:rPr>
        <w:t xml:space="preserve">~50 packs  </w:t>
      </w:r>
      <w:r>
        <w:rPr>
          <w:rFonts w:ascii="Georgia" w:cs="Georgia" w:eastAsia="Georgia" w:hAnsi="Georgia"/>
          <w:color w:val="4B5563"/>
          <w:sz w:val="22"/>
          <w:szCs w:val="22"/>
        </w:rPr>
        <w:t xml:space="preserve">Tier 4 — Small group (family, team, circle, ceremony)</w:t>
      </w:r>
    </w:p>
    <w:p>
      <w:pPr>
        <w:spacing w:before="80" w:after="80"/>
        <w:ind w:left="240"/>
      </w:pPr>
      <w:r>
        <w:rPr>
          <w:rFonts w:ascii="Courier New" w:cs="Courier New" w:eastAsia="Courier New" w:hAnsi="Courier New"/>
          <w:b/>
          <w:bCs/>
          <w:color w:val="2563EB"/>
          <w:sz w:val="22"/>
          <w:szCs w:val="22"/>
        </w:rPr>
        <w:t xml:space="preserve">~40 packs  </w:t>
      </w:r>
      <w:r>
        <w:rPr>
          <w:rFonts w:ascii="Georgia" w:cs="Georgia" w:eastAsia="Georgia" w:hAnsi="Georgia"/>
          <w:color w:val="4B5563"/>
          <w:sz w:val="22"/>
          <w:szCs w:val="22"/>
        </w:rPr>
        <w:t xml:space="preserve">Tier 6 — Temporal (grief, celebration, threshold, past/future)</w:t>
      </w:r>
    </w:p>
    <w:p>
      <w:pPr>
        <w:spacing w:before="80" w:after="80"/>
        <w:ind w:left="240"/>
      </w:pPr>
      <w:r>
        <w:rPr>
          <w:rFonts w:ascii="Courier New" w:cs="Courier New" w:eastAsia="Courier New" w:hAnsi="Courier New"/>
          <w:b/>
          <w:bCs/>
          <w:color w:val="2563EB"/>
          <w:sz w:val="22"/>
          <w:szCs w:val="22"/>
        </w:rPr>
        <w:t xml:space="preserve">~40 packs  </w:t>
      </w:r>
      <w:r>
        <w:rPr>
          <w:rFonts w:ascii="Georgia" w:cs="Georgia" w:eastAsia="Georgia" w:hAnsi="Georgia"/>
          <w:color w:val="4B5563"/>
          <w:sz w:val="22"/>
          <w:szCs w:val="22"/>
        </w:rPr>
        <w:t xml:space="preserve">Tier 7 — Exploratory (philosophical, spiritual, dream, play at depth)</w:t>
      </w:r>
    </w:p>
    <w:p>
      <w:pPr>
        <w:spacing w:before="80" w:after="80"/>
        <w:ind w:left="240"/>
      </w:pPr>
      <w:r>
        <w:rPr>
          <w:rFonts w:ascii="Courier New" w:cs="Courier New" w:eastAsia="Courier New" w:hAnsi="Courier New"/>
          <w:b/>
          <w:bCs/>
          <w:color w:val="2563EB"/>
          <w:sz w:val="22"/>
          <w:szCs w:val="22"/>
        </w:rPr>
        <w:t xml:space="preserve">~40 packs  </w:t>
      </w:r>
      <w:r>
        <w:rPr>
          <w:rFonts w:ascii="Georgia" w:cs="Georgia" w:eastAsia="Georgia" w:hAnsi="Georgia"/>
          <w:color w:val="4B5563"/>
          <w:sz w:val="22"/>
          <w:szCs w:val="22"/>
        </w:rPr>
        <w:t xml:space="preserve">Tier 8 — Embodiment (chronic condition, aging, sexuality, trauma-body)</w:t>
      </w:r>
    </w:p>
    <w:p>
      <w:pPr>
        <w:spacing w:before="80" w:after="80"/>
        <w:ind w:left="240"/>
      </w:pPr>
      <w:r>
        <w:rPr>
          <w:rFonts w:ascii="Courier New" w:cs="Courier New" w:eastAsia="Courier New" w:hAnsi="Courier New"/>
          <w:b/>
          <w:bCs/>
          <w:color w:val="2563EB"/>
          <w:sz w:val="22"/>
          <w:szCs w:val="22"/>
        </w:rPr>
        <w:t xml:space="preserve">~30 packs  </w:t>
      </w:r>
      <w:r>
        <w:rPr>
          <w:rFonts w:ascii="Georgia" w:cs="Georgia" w:eastAsia="Georgia" w:hAnsi="Georgia"/>
          <w:color w:val="4B5563"/>
          <w:sz w:val="22"/>
          <w:szCs w:val="22"/>
        </w:rPr>
        <w:t xml:space="preserve">Tier 3 — Consumer inverses of the professional library (patient, student, client, job seeker)</w:t>
      </w:r>
    </w:p>
    <w:p>
      <w:pPr>
        <w:spacing w:before="160" w:after="0"/>
      </w:pPr>
      <w:r>
        <w:t xml:space="preserve"/>
      </w:r>
    </w:p>
    <w:p>
      <w:pPr>
        <w:spacing w:before="120" w:after="120"/>
        <w:ind w:left="240"/>
      </w:pPr>
      <w:r>
        <w:rPr>
          <w:rFonts w:ascii="Courier New" w:cs="Courier New" w:eastAsia="Courier New" w:hAnsi="Courier New"/>
          <w:b/>
          <w:bCs/>
          <w:color w:val="060A0D"/>
          <w:sz w:val="26"/>
          <w:szCs w:val="26"/>
        </w:rPr>
        <w:t xml:space="preserve">~270 packs total</w:t>
      </w:r>
      <w:r>
        <w:rPr>
          <w:rFonts w:ascii="Georgia" w:cs="Georgia" w:eastAsia="Georgia" w:hAnsi="Georgia"/>
          <w:color w:val="4B5563"/>
          <w:sz w:val="24"/>
          <w:szCs w:val="24"/>
        </w:rPr>
        <w:t xml:space="preserve">  —  the second library sprint.</w:t>
      </w:r>
    </w:p>
    <w:p>
      <w:pPr>
        <w:spacing w:before="240" w:after="0"/>
      </w:pPr>
      <w:r>
        <w:t xml:space="preserve"/>
      </w:r>
    </w:p>
    <w:p>
      <w:pPr>
        <w:pBdr>
          <w:bottom w:val="single" w:color="2563EB" w:sz="8" w:space="1"/>
        </w:pBdr>
        <w:spacing w:before="0" w:after="240"/>
      </w:pPr>
    </w:p>
    <w:p>
      <w:pPr>
        <w:spacing w:before="240" w:after="0"/>
      </w:pPr>
      <w:r>
        <w:t xml:space="preserve"/>
      </w:r>
    </w:p>
    <w:p>
      <w:pPr>
        <w:pStyle w:val="Heading1"/>
        <w:spacing w:before="480" w:after="120"/>
      </w:pPr>
      <w:r>
        <w:rPr>
          <w:rFonts w:ascii="Arial" w:cs="Arial" w:eastAsia="Arial" w:hAnsi="Arial"/>
          <w:b/>
          <w:bCs/>
          <w:color w:val="060A0D"/>
          <w:sz w:val="36"/>
          <w:szCs w:val="36"/>
        </w:rPr>
        <w:t xml:space="preserve">The Organizing Principle</w:t>
      </w:r>
    </w:p>
    <w:p>
      <w:pPr>
        <w:spacing w:before="0" w:after="200"/>
      </w:pPr>
      <w:r>
        <w:rPr>
          <w:rFonts w:ascii="Georgia" w:cs="Georgia" w:eastAsia="Georgia" w:hAnsi="Georgia"/>
          <w:color w:val="1F2937"/>
          <w:sz w:val="24"/>
          <w:szCs w:val="24"/>
        </w:rPr>
        <w:t xml:space="preserve">What this map reveals is the structural distinction between the two libraries.</w:t>
      </w:r>
    </w:p>
    <w:p>
      <w:pPr>
        <w:spacing w:before="0" w:after="200"/>
      </w:pPr>
      <w:r>
        <w:rPr>
          <w:rFonts w:ascii="Georgia" w:cs="Georgia" w:eastAsia="Georgia" w:hAnsi="Georgia"/>
          <w:color w:val="1F2937"/>
          <w:sz w:val="24"/>
          <w:szCs w:val="24"/>
        </w:rPr>
        <w:t xml:space="preserve">The professional library covered asymmetric expert-to-client interactions. One party holds knowledge. The other holds need. The governance layer encodes professional standards, legal obligations, and clinical decision rules. The deliverable is a structured artifact: a case file, a clinical record, a candidate assessment.</w:t>
      </w:r>
    </w:p>
    <w:p>
      <w:pPr>
        <w:spacing w:before="0" w:after="200"/>
      </w:pPr>
      <w:r>
        <w:rPr>
          <w:rFonts w:ascii="Georgia" w:cs="Georgia" w:eastAsia="Georgia" w:hAnsi="Georgia"/>
          <w:color w:val="1F2937"/>
          <w:sz w:val="24"/>
          <w:szCs w:val="24"/>
        </w:rPr>
        <w:t xml:space="preserve">The human library covers symmetric person-to-person interactions and self-directed inner experience. Both parties are equals — or there is only one party, the person themselves. The governance layer encodes something different: not professional standards but human ones. What does a well-structured apology require? What are the components of a meaningful grief process? What does a genuine values-alignment exercise produce?</w:t>
      </w:r>
    </w:p>
    <w:p>
      <w:pPr>
        <w:pBdr>
          <w:left w:val="single" w:color="2563EB" w:sz="24" w:space="12"/>
        </w:pBdr>
        <w:spacing w:before="280" w:after="280"/>
        <w:ind w:left="480"/>
      </w:pPr>
      <w:r>
        <w:rPr>
          <w:rFonts w:ascii="Georgia" w:cs="Georgia" w:eastAsia="Georgia" w:hAnsi="Georgia"/>
          <w:i/>
          <w:iCs/>
          <w:color w:val="2563EB"/>
          <w:sz w:val="28"/>
          <w:szCs w:val="28"/>
        </w:rPr>
        <w:t xml:space="preserve">These are not less important than the professional interactions. They are more important. They happen more often, they carry more consequence for the texture of a human life, and they have never had a governance layer.</w:t>
      </w:r>
    </w:p>
    <w:p>
      <w:pPr>
        <w:spacing w:before="0" w:after="200"/>
      </w:pPr>
      <w:r>
        <w:rPr>
          <w:rFonts w:ascii="Georgia" w:cs="Georgia" w:eastAsia="Georgia" w:hAnsi="Georgia"/>
          <w:color w:val="1F2937"/>
          <w:sz w:val="24"/>
          <w:szCs w:val="24"/>
        </w:rPr>
        <w:t xml:space="preserve">The professional library has always had informal governance — the standards of the profession, the training of the practitioner, the norms of the field. TMOS13 made those standards explicit and machine-executable.</w:t>
      </w:r>
    </w:p>
    <w:p>
      <w:pPr>
        <w:spacing w:before="0" w:after="200"/>
      </w:pPr>
      <w:r>
        <w:rPr>
          <w:rFonts w:ascii="Georgia" w:cs="Georgia" w:eastAsia="Georgia" w:hAnsi="Georgia"/>
          <w:color w:val="1F2937"/>
          <w:sz w:val="24"/>
          <w:szCs w:val="24"/>
        </w:rPr>
        <w:t xml:space="preserve">The human library has always had informal governance too — cultural norms, therapeutic traditions, wisdom literature, ritual practice, the accumulated experience of what makes these interactions go well or badly. TMOS13 can do the same thing: make those standards explicit, author them as behavioral contracts, deploy them as governed sessions.</w:t>
      </w:r>
    </w:p>
    <w:p>
      <w:pPr>
        <w:spacing w:before="0" w:after="200"/>
      </w:pPr>
      <w:r>
        <w:rPr>
          <w:rFonts w:ascii="Georgia" w:cs="Georgia" w:eastAsia="Georgia" w:hAnsi="Georgia"/>
          <w:color w:val="1F2937"/>
          <w:sz w:val="24"/>
          <w:szCs w:val="24"/>
        </w:rPr>
        <w:t xml:space="preserve">The difference is that no one has done it before. There is no institution whose professional standards govern the structure of a meaningful apology. There is no regulatory body whose rules define what a well-structured grief session requires. There is only human wisdom — which has never been made machine-executable.</w:t>
      </w:r>
    </w:p>
    <w:p>
      <w:pPr>
        <w:spacing w:before="0" w:after="200"/>
      </w:pPr>
      <w:r>
        <w:rPr>
          <w:rFonts w:ascii="Georgia" w:cs="Georgia" w:eastAsia="Georgia" w:hAnsi="Georgia"/>
          <w:color w:val="1F2937"/>
          <w:sz w:val="24"/>
          <w:szCs w:val="24"/>
        </w:rPr>
        <w:t xml:space="preserve">Until now.</w:t>
      </w:r>
    </w:p>
    <w:p>
      <w:pPr>
        <w:spacing w:before="240" w:after="0"/>
      </w:pPr>
      <w:r>
        <w:t xml:space="preserve"/>
      </w:r>
    </w:p>
    <w:p>
      <w:pPr>
        <w:pBdr>
          <w:bottom w:val="single" w:color="E5E7EB" w:sz="4" w:space="1"/>
        </w:pBdr>
        <w:spacing w:before="0" w:after="240"/>
      </w:pPr>
    </w:p>
    <w:p>
      <w:pPr>
        <w:spacing w:before="160" w:after="0"/>
      </w:pPr>
      <w:r>
        <w:t xml:space="preserve"/>
      </w:r>
    </w:p>
    <w:p>
      <w:pPr>
        <w:jc w:val="center"/>
      </w:pPr>
      <w:r>
        <w:rPr>
          <w:rFonts w:ascii="Arial" w:cs="Arial" w:eastAsia="Arial" w:hAnsi="Arial"/>
          <w:color w:val="9CA3AF"/>
          <w:sz w:val="18"/>
          <w:szCs w:val="18"/>
        </w:rPr>
        <w:t xml:space="preserve">TMOS13, LLC  ·  Jersey City, NJ  ·  March 2026  ·  Confidential Working Paper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0"/>
    </w:pPr>
    <w:r>
      <w:rPr>
        <w:rFonts w:ascii="Arial" w:cs="Arial" w:eastAsia="Arial" w:hAnsi="Arial"/>
        <w:color w:val="9CA3AF"/>
        <w:sz w:val="18"/>
        <w:szCs w:val="18"/>
      </w:rPr>
      <w:t xml:space="preserve">Robert C. Ventura  ·  TMOS13,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0"/>
    </w:pPr>
    <w:r>
      <w:rPr>
        <w:rFonts w:ascii="Arial" w:cs="Arial" w:eastAsia="Arial" w:hAnsi="Arial"/>
        <w:b/>
        <w:bCs/>
        <w:color w:val="2563EB"/>
        <w:sz w:val="18"/>
        <w:szCs w:val="18"/>
      </w:rPr>
      <w:t xml:space="preserve">TMOS13</w:t>
    </w:r>
    <w:r>
      <w:rPr>
        <w:rFonts w:ascii="Arial" w:cs="Arial" w:eastAsia="Arial" w:hAnsi="Arial"/>
        <w:color w:val="9CA3AF"/>
        <w:sz w:val="18"/>
        <w:szCs w:val="18"/>
      </w:rPr>
      <w:t xml:space="preserve">  ·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60A0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60A0D"/>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2026-03-16T22:36:24.166Z</dcterms:created>
  <dcterms:modified xsi:type="dcterms:W3CDTF">2026-03-16T22:36:24.167Z</dcterms:modified>
</cp:coreProperties>
</file>

<file path=docProps/custom.xml><?xml version="1.0" encoding="utf-8"?>
<Properties xmlns="http://schemas.openxmlformats.org/officeDocument/2006/custom-properties" xmlns:vt="http://schemas.openxmlformats.org/officeDocument/2006/docPropsVTypes"/>
</file>