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pPr>
      <w:r>
        <w:rPr>
          <w:rFonts w:ascii="Arial" w:cs="Arial" w:eastAsia="Arial" w:hAnsi="Arial"/>
          <w:b/>
          <w:bCs/>
          <w:color w:val="2563EB"/>
          <w:spacing w:val="20"/>
          <w:sz w:val="52"/>
          <w:szCs w:val="52"/>
        </w:rPr>
        <w:t xml:space="preserve">TMOS13</w:t>
      </w:r>
    </w:p>
    <w:p>
      <w:pPr>
        <w:spacing w:before="0" w:after="480"/>
      </w:pPr>
      <w:r>
        <w:rPr>
          <w:rFonts w:ascii="Arial" w:cs="Arial" w:eastAsia="Arial" w:hAnsi="Arial"/>
          <w:color w:val="9CA3AF"/>
          <w:sz w:val="20"/>
          <w:szCs w:val="20"/>
        </w:rPr>
        <w:t xml:space="preserve">Working Paper — March 2026  ·  Draft 1</w:t>
      </w:r>
    </w:p>
    <w:p>
      <w:pPr>
        <w:pBdr>
          <w:bottom w:val="single" w:color="2563EB" w:sz="12" w:space="1"/>
        </w:pBdr>
        <w:spacing w:before="0" w:after="240"/>
      </w:pPr>
    </w:p>
    <w:p>
      <w:pPr>
        <w:spacing w:before="240" w:after="80"/>
      </w:pPr>
      <w:r>
        <w:rPr>
          <w:rFonts w:ascii="Arial" w:cs="Arial" w:eastAsia="Arial" w:hAnsi="Arial"/>
          <w:b/>
          <w:bCs/>
          <w:color w:val="060A0D"/>
          <w:sz w:val="56"/>
          <w:szCs w:val="56"/>
        </w:rPr>
        <w:t xml:space="preserve">The Invariant Layer</w:t>
      </w:r>
    </w:p>
    <w:p>
      <w:pPr>
        <w:spacing w:before="0" w:after="480"/>
      </w:pPr>
      <w:r>
        <w:rPr>
          <w:rFonts w:ascii="Georgia" w:cs="Georgia" w:eastAsia="Georgia" w:hAnsi="Georgia"/>
          <w:i/>
          <w:iCs/>
          <w:color w:val="4B5563"/>
          <w:sz w:val="36"/>
          <w:szCs w:val="36"/>
        </w:rPr>
        <w:t xml:space="preserve">A Simulation Ontology</w:t>
      </w:r>
    </w:p>
    <w:p>
      <w:pPr>
        <w:pBdr>
          <w:bottom w:val="single" w:color="E5E7EB" w:sz="4" w:space="1"/>
        </w:pBdr>
        <w:spacing w:before="0" w:after="240"/>
      </w:pPr>
    </w:p>
    <w:p>
      <w:pPr>
        <w:spacing w:before="240" w:after="0"/>
      </w:pPr>
      <w:r>
        <w:t xml:space="preserve"/>
      </w:r>
    </w:p>
    <w:p>
      <w:pPr>
        <w:spacing w:before="0" w:after="60"/>
      </w:pPr>
      <w:r>
        <w:rPr>
          <w:rFonts w:ascii="Arial" w:cs="Arial" w:eastAsia="Arial" w:hAnsi="Arial"/>
          <w:b/>
          <w:bCs/>
          <w:color w:val="060A0D"/>
          <w:sz w:val="22"/>
          <w:szCs w:val="22"/>
        </w:rPr>
        <w:t xml:space="preserve">Robert C. Ventura</w:t>
      </w:r>
    </w:p>
    <w:p>
      <w:pPr>
        <w:spacing w:before="0" w:after="60"/>
      </w:pPr>
      <w:r>
        <w:rPr>
          <w:rFonts w:ascii="Arial" w:cs="Arial" w:eastAsia="Arial" w:hAnsi="Arial"/>
          <w:color w:val="4B5563"/>
          <w:sz w:val="20"/>
          <w:szCs w:val="20"/>
        </w:rPr>
        <w:t xml:space="preserve">Founder &amp; CEO, TMOS13, LLC</w:t>
      </w:r>
    </w:p>
    <w:p>
      <w:pPr>
        <w:spacing w:before="0" w:after="480"/>
      </w:pPr>
      <w:r>
        <w:rPr>
          <w:rFonts w:ascii="Arial" w:cs="Arial" w:eastAsia="Arial" w:hAnsi="Arial"/>
          <w:color w:val="2563EB"/>
          <w:sz w:val="20"/>
          <w:szCs w:val="20"/>
        </w:rPr>
        <w:t xml:space="preserve">tmos13.ai  ·  rob@tmos13.ai</w:t>
      </w:r>
    </w:p>
    <w:p>
      <w:pPr>
        <w:spacing w:before="0" w:after="40"/>
      </w:pPr>
      <w:r>
        <w:rPr>
          <w:rFonts w:ascii="Arial" w:cs="Arial" w:eastAsia="Arial" w:hAnsi="Arial"/>
          <w:color w:val="9CA3AF"/>
          <w:sz w:val="18"/>
          <w:szCs w:val="18"/>
        </w:rPr>
        <w:t xml:space="preserve">Companion documents: </w:t>
      </w:r>
    </w:p>
    <w:p>
      <w:pPr>
        <w:spacing w:before="0" w:after="480"/>
      </w:pPr>
      <w:r>
        <w:rPr>
          <w:rFonts w:ascii="Arial" w:cs="Arial" w:eastAsia="Arial" w:hAnsi="Arial"/>
          <w:i/>
          <w:iCs/>
          <w:color w:val="9CA3AF"/>
          <w:sz w:val="18"/>
          <w:szCs w:val="18"/>
        </w:rPr>
        <w:t xml:space="preserve">"The Bubble Model" (TMOS13 Working Paper, March 2026)  ·  "The Pack Web" (TMOS13 Working Paper, March 2026)  ·  "Protocol-Centric AGI" (TMOS13 Working Paper, March 2026)</w:t>
      </w:r>
    </w:p>
    <w:p>
      <w:pPr>
        <w:pBdr>
          <w:bottom w:val="single" w:color="2563EB" w:sz="8" w:space="1"/>
        </w:pBdr>
        <w:spacing w:before="0" w:after="240"/>
      </w:pPr>
    </w:p>
    <w:p>
      <w:pPr>
        <w:spacing w:before="480" w:after="0"/>
      </w:pPr>
      <w:r>
        <w:t xml:space="preserve"/>
      </w:r>
    </w:p>
    <w:p>
      <w:pPr>
        <w:spacing w:before="0" w:after="80"/>
      </w:pPr>
      <w:r>
        <w:rPr>
          <w:rFonts w:ascii="Arial" w:cs="Arial" w:eastAsia="Arial" w:hAnsi="Arial"/>
          <w:b/>
          <w:bCs/>
          <w:color w:val="9CA3AF"/>
          <w:spacing w:val="40"/>
          <w:sz w:val="18"/>
          <w:szCs w:val="18"/>
        </w:rPr>
        <w:t xml:space="preserve">PREFACE: THE NAME AS ARGUMENT</w:t>
      </w:r>
    </w:p>
    <w:p>
      <w:pPr>
        <w:pBdr>
          <w:bottom w:val="single" w:color="E5E7EB" w:sz="4" w:space="1"/>
        </w:pBdr>
        <w:spacing w:before="0" w:after="240"/>
      </w:pPr>
    </w:p>
    <w:p>
      <w:pPr>
        <w:spacing w:before="80" w:after="0"/>
      </w:pPr>
      <w:r>
        <w:t xml:space="preserve"/>
      </w:r>
    </w:p>
    <w:p>
      <w:pPr>
        <w:spacing w:before="0" w:after="200"/>
      </w:pPr>
      <w:r>
        <w:rPr>
          <w:rFonts w:ascii="Georgia" w:cs="Georgia" w:eastAsia="Georgia" w:hAnsi="Georgia"/>
          <w:color w:val="1F2937"/>
          <w:sz w:val="24"/>
          <w:szCs w:val="24"/>
        </w:rPr>
        <w:t xml:space="preserve">The company is TMOS13, LLC. The platform has two faces: TMOS13 — the consumer surface, the cloud product, the rendered experience — and 13TMOS, its inversion: the CLI, the protocol library, the substrate made visible.</w:t>
      </w:r>
    </w:p>
    <w:p>
      <w:pPr>
        <w:spacing w:before="0" w:after="200"/>
      </w:pPr>
      <w:r>
        <w:rPr>
          <w:rFonts w:ascii="Georgia" w:cs="Georgia" w:eastAsia="Georgia" w:hAnsi="Georgia"/>
          <w:color w:val="1F2937"/>
          <w:sz w:val="24"/>
          <w:szCs w:val="24"/>
        </w:rPr>
        <w:t xml:space="preserve">The names are not a branding decision. They are a structural argument.</w:t>
      </w:r>
    </w:p>
    <w:p>
      <w:pPr>
        <w:spacing w:before="0" w:after="200"/>
      </w:pPr>
      <w:r>
        <w:rPr>
          <w:rFonts w:ascii="Georgia" w:cs="Georgia" w:eastAsia="Georgia" w:hAnsi="Georgia"/>
          <w:color w:val="1F2937"/>
          <w:sz w:val="24"/>
          <w:szCs w:val="24"/>
        </w:rPr>
        <w:t xml:space="preserve">TMOS13 reads forward: The Model Operating System, version 13. A surface. An experience delivered to a user. The rules run underneath, invisible, generating the appearance of intelligent interaction. The user sees outputs. The governance is hidden.</w:t>
      </w:r>
    </w:p>
    <w:p>
      <w:pPr>
        <w:spacing w:before="0" w:after="200"/>
      </w:pPr>
      <w:r>
        <w:rPr>
          <w:rFonts w:ascii="Georgia" w:cs="Georgia" w:eastAsia="Georgia" w:hAnsi="Georgia"/>
          <w:color w:val="1F2937"/>
          <w:sz w:val="24"/>
          <w:szCs w:val="24"/>
        </w:rPr>
        <w:t xml:space="preserve">13TMOS reads backward: the same elements, inverted in orientation. In the CLI you are not experiencing a rendered surface. You are operating directly within the rule structure that makes surfaces possible. The protocols are visible. The governance is the interface. There is no layer between you and the rules.</w:t>
      </w:r>
    </w:p>
    <w:p>
      <w:pPr>
        <w:pBdr>
          <w:left w:val="single" w:color="2563EB" w:sz="24" w:space="12"/>
        </w:pBdr>
        <w:spacing w:before="280" w:after="280"/>
        <w:ind w:left="480"/>
      </w:pPr>
      <w:r>
        <w:rPr>
          <w:rFonts w:ascii="Georgia" w:cs="Georgia" w:eastAsia="Georgia" w:hAnsi="Georgia"/>
          <w:i/>
          <w:iCs/>
          <w:color w:val="2563EB"/>
          <w:sz w:val="28"/>
          <w:szCs w:val="28"/>
        </w:rPr>
        <w:t xml:space="preserve">Notice what holds across the inversion. The 13 does not change orientation. Whether you read TMOS13 or 13TMOS, the number occupies the boundary between the name and its mirror. It is the invariant element — the thing that persists when everything else flips.</w:t>
      </w:r>
    </w:p>
    <w:p>
      <w:pPr>
        <w:spacing w:before="0" w:after="200"/>
      </w:pPr>
      <w:r>
        <w:rPr>
          <w:rFonts w:ascii="Georgia" w:cs="Georgia" w:eastAsia="Georgia" w:hAnsi="Georgia"/>
          <w:color w:val="1F2937"/>
          <w:sz w:val="24"/>
          <w:szCs w:val="24"/>
        </w:rPr>
        <w:t xml:space="preserve">In the framework this document develops, 13 is the governance constant. The protocol layer. The rules that define what a simulation is, regardless of which direction you approach it from — substrate or surface, CLI or cloud, inside or outside. The rendering changes. The governance doesn't.</w:t>
      </w:r>
    </w:p>
    <w:p>
      <w:pPr>
        <w:spacing w:before="0" w:after="200"/>
      </w:pPr>
      <w:r>
        <w:rPr>
          <w:rFonts w:ascii="Georgia" w:cs="Georgia" w:eastAsia="Georgia" w:hAnsi="Georgia"/>
          <w:color w:val="1F2937"/>
          <w:sz w:val="24"/>
          <w:szCs w:val="24"/>
        </w:rPr>
        <w:t xml:space="preserve">This is what a simulation is: a governed instantiation whose rule structure persists across the inversion between substrate and surface.</w:t>
      </w:r>
    </w:p>
    <w:p>
      <w:pPr>
        <w:spacing w:before="0" w:after="200"/>
      </w:pPr>
      <w:r>
        <w:rPr>
          <w:rFonts w:ascii="Georgia" w:cs="Georgia" w:eastAsia="Georgia" w:hAnsi="Georgia"/>
          <w:color w:val="1F2937"/>
          <w:sz w:val="24"/>
          <w:szCs w:val="24"/>
        </w:rPr>
        <w:t xml:space="preserve">Everything else follows from that.</w:t>
      </w:r>
    </w:p>
    <w:p>
      <w:pPr>
        <w:spacing w:before="240" w:after="0"/>
      </w:pPr>
      <w:r>
        <w:t xml:space="preserve"/>
      </w:r>
    </w:p>
    <w:p>
      <w:pPr>
        <w:pBdr>
          <w:bottom w:val="single" w:color="2563EB" w:sz="8" w:space="1"/>
        </w:pBdr>
        <w:spacing w:before="0" w:after="240"/>
      </w:pPr>
    </w:p>
    <w:p>
      <w:pPr>
        <w:spacing w:before="240" w:after="0"/>
      </w:pPr>
      <w:r>
        <w:t xml:space="preserve"/>
      </w:r>
    </w:p>
    <w:p>
      <w:pPr>
        <w:pStyle w:val="Heading1"/>
        <w:spacing w:before="480" w:after="120"/>
      </w:pPr>
      <w:r>
        <w:rPr>
          <w:rFonts w:ascii="Arial" w:cs="Arial" w:eastAsia="Arial" w:hAnsi="Arial"/>
          <w:b/>
          <w:bCs/>
          <w:color w:val="060A0D"/>
          <w:sz w:val="36"/>
          <w:szCs w:val="36"/>
        </w:rPr>
        <w:t xml:space="preserve">I. The Failure of the Representational Definition</w:t>
      </w:r>
    </w:p>
    <w:p>
      <w:pPr>
        <w:spacing w:before="0" w:after="200"/>
      </w:pPr>
      <w:r>
        <w:rPr>
          <w:rFonts w:ascii="Georgia" w:cs="Georgia" w:eastAsia="Georgia" w:hAnsi="Georgia"/>
          <w:color w:val="1F2937"/>
          <w:sz w:val="24"/>
          <w:szCs w:val="24"/>
        </w:rPr>
        <w:t xml:space="preserve">The dominant theory of simulation is representational. A simulation represents something else. A flight simulator represents an aircraft and its aerodynamic behavior. A weather model represents atmospheric dynamics. A video game represents a world. The simulation is a map; the territory lies elsewhere. The relationship between them is resemblance — the simulation is evaluated by how closely it looks, feels, or behaves like the thing it depicts.</w:t>
      </w:r>
    </w:p>
    <w:p>
      <w:pPr>
        <w:spacing w:before="0" w:after="200"/>
      </w:pPr>
      <w:r>
        <w:rPr>
          <w:rFonts w:ascii="Georgia" w:cs="Georgia" w:eastAsia="Georgia" w:hAnsi="Georgia"/>
          <w:color w:val="1F2937"/>
          <w:sz w:val="24"/>
          <w:szCs w:val="24"/>
        </w:rPr>
        <w:t xml:space="preserve">This definition has intuitive appeal but fails under pressure in at least three ways.</w:t>
      </w:r>
    </w:p>
    <w:p>
      <w:pPr>
        <w:spacing w:before="120" w:after="160"/>
      </w:pPr>
      <w:r>
        <w:rPr>
          <w:rFonts w:ascii="Georgia" w:cs="Georgia" w:eastAsia="Georgia" w:hAnsi="Georgia"/>
          <w:b/>
          <w:bCs/>
          <w:color w:val="060A0D"/>
          <w:sz w:val="24"/>
          <w:szCs w:val="24"/>
        </w:rPr>
        <w:t xml:space="preserve">First, it cannot account for transfer. </w:t>
      </w:r>
      <w:r>
        <w:rPr>
          <w:rFonts w:ascii="Georgia" w:cs="Georgia" w:eastAsia="Georgia" w:hAnsi="Georgia"/>
          <w:color w:val="1F2937"/>
          <w:sz w:val="24"/>
          <w:szCs w:val="24"/>
        </w:rPr>
        <w:t xml:space="preserve">A pilot trains in a flight simulator and develops muscle memory, situational awareness, and decision-making capacity that transfers to a real aircraft. At the moment of transfer, which thing is the simulation? The simulator produced real cognitive structure in the real world. If the simulation were merely a representation — a map of the territory — transfer would not occur. Maps do not build pilots. The simulator did something more than represent flight; it instantiated a rule structure sufficiently complete that genuine competence could develop within it.</w:t>
      </w:r>
    </w:p>
    <w:p>
      <w:pPr>
        <w:spacing w:before="120" w:after="160"/>
      </w:pPr>
      <w:r>
        <w:rPr>
          <w:rFonts w:ascii="Georgia" w:cs="Georgia" w:eastAsia="Georgia" w:hAnsi="Georgia"/>
          <w:b/>
          <w:bCs/>
          <w:color w:val="060A0D"/>
          <w:sz w:val="24"/>
          <w:szCs w:val="24"/>
        </w:rPr>
        <w:t xml:space="preserve">Second, it confuses fidelity with validity. </w:t>
      </w:r>
      <w:r>
        <w:rPr>
          <w:rFonts w:ascii="Georgia" w:cs="Georgia" w:eastAsia="Georgia" w:hAnsi="Georgia"/>
          <w:color w:val="1F2937"/>
          <w:sz w:val="24"/>
          <w:szCs w:val="24"/>
        </w:rPr>
        <w:t xml:space="preserve">A hyper-realistic game environment with loose rules feels real but operates nothing like the domain it depicts. A sparse text interface with rigorous rules looks nothing like its domain but operates exactly as it does. Visual and behavioral fidelity are independent axes — and the representational definition, by grounding simulation identity in resemblance, systematically privileges the wrong one. The most valid simulations are often the least realistic in appearance. The most realistic in appearance are often the least valid in behavior.</w:t>
      </w:r>
    </w:p>
    <w:p>
      <w:pPr>
        <w:spacing w:before="120" w:after="160"/>
      </w:pPr>
      <w:r>
        <w:rPr>
          <w:rFonts w:ascii="Georgia" w:cs="Georgia" w:eastAsia="Georgia" w:hAnsi="Georgia"/>
          <w:b/>
          <w:bCs/>
          <w:color w:val="060A0D"/>
          <w:sz w:val="24"/>
          <w:szCs w:val="24"/>
        </w:rPr>
        <w:t xml:space="preserve">Third, it draws the membrane in the wrong place. </w:t>
      </w:r>
      <w:r>
        <w:rPr>
          <w:rFonts w:ascii="Georgia" w:cs="Georgia" w:eastAsia="Georgia" w:hAnsi="Georgia"/>
          <w:color w:val="1F2937"/>
          <w:sz w:val="24"/>
          <w:szCs w:val="24"/>
        </w:rPr>
        <w:t xml:space="preserve">The representational definition assumes a clean separation between the simulation and the world. Outcomes inside the simulation do not cross the membrane. The simulation is a sandbox. But this assumption fails at every interesting edge. The policy model that produces recommendations that move real capital. The medical intake protocol that routes a real clinician's decision about a real patient. The crisis intervention session that ends with a real phone number for a real hotline that a real person calls. The representational definition has no theory for these cases because it treats consequence as definitionally absent from simulation. But consequence is not absent. It is graduated. And its graduation is one of the most important variables in simulation ontology.</w:t>
      </w:r>
    </w:p>
    <w:p>
      <w:pPr>
        <w:pStyle w:val="Heading1"/>
        <w:spacing w:before="480" w:after="120"/>
      </w:pPr>
      <w:r>
        <w:rPr>
          <w:rFonts w:ascii="Arial" w:cs="Arial" w:eastAsia="Arial" w:hAnsi="Arial"/>
          <w:b/>
          <w:bCs/>
          <w:color w:val="060A0D"/>
          <w:sz w:val="36"/>
          <w:szCs w:val="36"/>
        </w:rPr>
        <w:t xml:space="preserve">II. Rule Isomorphism as the Primary Criterion</w:t>
      </w:r>
    </w:p>
    <w:p>
      <w:pPr>
        <w:spacing w:before="0" w:after="200"/>
      </w:pPr>
      <w:r>
        <w:rPr>
          <w:rFonts w:ascii="Georgia" w:cs="Georgia" w:eastAsia="Georgia" w:hAnsi="Georgia"/>
          <w:color w:val="1F2937"/>
          <w:sz w:val="24"/>
          <w:szCs w:val="24"/>
        </w:rPr>
        <w:t xml:space="preserve">A better definition begins not with resemblance but with rules.</w:t>
      </w:r>
    </w:p>
    <w:p>
      <w:pPr>
        <w:pBdr>
          <w:left w:val="single" w:color="2563EB" w:sz="24" w:space="12"/>
        </w:pBdr>
        <w:spacing w:before="280" w:after="280"/>
        <w:ind w:left="480"/>
      </w:pPr>
      <w:r>
        <w:rPr>
          <w:rFonts w:ascii="Georgia" w:cs="Georgia" w:eastAsia="Georgia" w:hAnsi="Georgia"/>
          <w:i/>
          <w:iCs/>
          <w:color w:val="2563EB"/>
          <w:sz w:val="28"/>
          <w:szCs w:val="28"/>
        </w:rPr>
        <w:t xml:space="preserve">A simulation is a governed instantiation of a domain's rule structure — complete enough that coherent operation within it is possible, and constrained enough that outputs are ones the domain would recognize as valid.</w:t>
      </w:r>
    </w:p>
    <w:p>
      <w:pPr>
        <w:spacing w:before="0" w:after="200"/>
      </w:pPr>
      <w:r>
        <w:rPr>
          <w:rFonts w:ascii="Georgia" w:cs="Georgia" w:eastAsia="Georgia" w:hAnsi="Georgia"/>
          <w:color w:val="1F2937"/>
          <w:sz w:val="24"/>
          <w:szCs w:val="24"/>
        </w:rPr>
        <w:t xml:space="preserve">The key concept is rule isomorphism: a structural correspondence between the rules governing the simulation and the rules governing the reference domain, such that operations within the simulation produce outputs equivalent to operations within the domain along the dimensions that matter.</w:t>
      </w:r>
    </w:p>
    <w:p>
      <w:pPr>
        <w:spacing w:before="0" w:after="200"/>
      </w:pPr>
      <w:r>
        <w:rPr>
          <w:rFonts w:ascii="Georgia" w:cs="Georgia" w:eastAsia="Georgia" w:hAnsi="Georgia"/>
          <w:color w:val="1F2937"/>
          <w:sz w:val="24"/>
          <w:szCs w:val="24"/>
        </w:rPr>
        <w:t xml:space="preserve">Rule isomorphism does not require visual or experiential resemblance. A chess engine has no resemblance to a physical chessboard. It is rule-isomorphic to chess in the dimensions that define chess — legal move generation, position evaluation, game-end conditions — and therefore produces valid chess. Nothing else is required. The material substrate of the pieces, the tactile experience of moving them, the spatial presence of the board: none of these are chess. The rules are chess. A system that instantiates those rules completely is, in every meaningful sense, playing chess.</w:t>
      </w:r>
    </w:p>
    <w:p>
      <w:pPr>
        <w:spacing w:before="0" w:after="200"/>
      </w:pPr>
      <w:r>
        <w:rPr>
          <w:rFonts w:ascii="Georgia" w:cs="Georgia" w:eastAsia="Georgia" w:hAnsi="Georgia"/>
          <w:color w:val="1F2937"/>
          <w:sz w:val="24"/>
          <w:szCs w:val="24"/>
        </w:rPr>
        <w:t xml:space="preserve">This reframing has an important corollary. The question of whether a simulation is valid — whether it correctly instantiates a domain — is not answered by comparing appearances. It is answered by comparing rules. Does this system operate by the same rules as the reference domain, in the dimensions that matter to that domain? If yes, the simulation is valid. If no, it is not, regardless of how realistic it looks.</w:t>
      </w:r>
    </w:p>
    <w:p>
      <w:pPr>
        <w:spacing w:before="0" w:after="200"/>
      </w:pPr>
      <w:r>
        <w:rPr>
          <w:rFonts w:ascii="Georgia" w:cs="Georgia" w:eastAsia="Georgia" w:hAnsi="Georgia"/>
          <w:color w:val="1F2937"/>
          <w:sz w:val="24"/>
          <w:szCs w:val="24"/>
        </w:rPr>
        <w:t xml:space="preserve">This shifts simulation authorship from an engineering problem to a governance problem. Building a high-fidelity visual simulation requires rendering engines, physics models, texture artists, sound design. Building a rule-isomorphic behavioral simulation requires understanding the rules of the domain deeply enough to author them explicitly. A pediatrician who can articulate the clinical decision rules of a pediatric intake — when to escalate unconditionally, what the differential requires, what the consent process demands — has the primary competence needed to author a valid simulation of that intake. The engineering is secondary.</w:t>
      </w:r>
    </w:p>
    <w:p>
      <w:pPr>
        <w:pBdr>
          <w:left w:val="single" w:color="2563EB" w:sz="24" w:space="12"/>
        </w:pBdr>
        <w:spacing w:before="280" w:after="280"/>
        <w:ind w:left="480"/>
      </w:pPr>
      <w:r>
        <w:rPr>
          <w:rFonts w:ascii="Georgia" w:cs="Georgia" w:eastAsia="Georgia" w:hAnsi="Georgia"/>
          <w:i/>
          <w:iCs/>
          <w:color w:val="2563EB"/>
          <w:sz w:val="28"/>
          <w:szCs w:val="28"/>
        </w:rPr>
        <w:t xml:space="preserve">This is why the 13TMOS library is possible. Packs are valid simulations not because they look like their domains but because they operate by their domains' rules.</w:t>
      </w:r>
    </w:p>
    <w:p>
      <w:pPr>
        <w:pStyle w:val="Heading1"/>
        <w:spacing w:before="480" w:after="120"/>
      </w:pPr>
      <w:r>
        <w:rPr>
          <w:rFonts w:ascii="Arial" w:cs="Arial" w:eastAsia="Arial" w:hAnsi="Arial"/>
          <w:b/>
          <w:bCs/>
          <w:color w:val="060A0D"/>
          <w:sz w:val="36"/>
          <w:szCs w:val="36"/>
        </w:rPr>
        <w:t xml:space="preserve">III. Three Axes</w:t>
      </w:r>
    </w:p>
    <w:p>
      <w:pPr>
        <w:spacing w:before="0" w:after="200"/>
      </w:pPr>
      <w:r>
        <w:rPr>
          <w:rFonts w:ascii="Georgia" w:cs="Georgia" w:eastAsia="Georgia" w:hAnsi="Georgia"/>
          <w:color w:val="1F2937"/>
          <w:sz w:val="24"/>
          <w:szCs w:val="24"/>
        </w:rPr>
        <w:t xml:space="preserve">Simulations vary along three axes that the representational definition obscures but the governance definition makes explicit.</w:t>
      </w:r>
    </w:p>
    <w:p>
      <w:pPr>
        <w:pStyle w:val="Heading2"/>
        <w:spacing w:before="360" w:after="120"/>
      </w:pPr>
      <w:r>
        <w:rPr>
          <w:rFonts w:ascii="Arial" w:cs="Arial" w:eastAsia="Arial" w:hAnsi="Arial"/>
          <w:b/>
          <w:bCs/>
          <w:color w:val="2563EB"/>
          <w:sz w:val="26"/>
          <w:szCs w:val="26"/>
        </w:rPr>
        <w:t xml:space="preserve">1. Fidelity</w:t>
      </w:r>
    </w:p>
    <w:p>
      <w:pPr>
        <w:spacing w:before="0" w:after="200"/>
      </w:pPr>
      <w:r>
        <w:rPr>
          <w:rFonts w:ascii="Georgia" w:cs="Georgia" w:eastAsia="Georgia" w:hAnsi="Georgia"/>
          <w:color w:val="1F2937"/>
          <w:sz w:val="24"/>
          <w:szCs w:val="24"/>
        </w:rPr>
        <w:t xml:space="preserve">Fidelity is not a single dimension. It decomposes into at least three:</w:t>
      </w:r>
    </w:p>
    <w:p>
      <w:pPr>
        <w:spacing w:before="120" w:after="160"/>
      </w:pPr>
      <w:r>
        <w:rPr>
          <w:rFonts w:ascii="Georgia" w:cs="Georgia" w:eastAsia="Georgia" w:hAnsi="Georgia"/>
          <w:b/>
          <w:bCs/>
          <w:color w:val="060A0D"/>
          <w:sz w:val="24"/>
          <w:szCs w:val="24"/>
        </w:rPr>
        <w:t xml:space="preserve">Representational fidelity — </w:t>
      </w:r>
      <w:r>
        <w:rPr>
          <w:rFonts w:ascii="Georgia" w:cs="Georgia" w:eastAsia="Georgia" w:hAnsi="Georgia"/>
          <w:color w:val="1F2937"/>
          <w:sz w:val="24"/>
          <w:szCs w:val="24"/>
        </w:rPr>
        <w:t xml:space="preserve">how closely the simulation resembles its reference domain in appearance, texture, and sensory experience. The axis the representational definition treats as primary.</w:t>
      </w:r>
    </w:p>
    <w:p>
      <w:pPr>
        <w:spacing w:before="120" w:after="160"/>
      </w:pPr>
      <w:r>
        <w:rPr>
          <w:rFonts w:ascii="Georgia" w:cs="Georgia" w:eastAsia="Georgia" w:hAnsi="Georgia"/>
          <w:b/>
          <w:bCs/>
          <w:color w:val="060A0D"/>
          <w:sz w:val="24"/>
          <w:szCs w:val="24"/>
        </w:rPr>
        <w:t xml:space="preserve">Behavioral fidelity — </w:t>
      </w:r>
      <w:r>
        <w:rPr>
          <w:rFonts w:ascii="Georgia" w:cs="Georgia" w:eastAsia="Georgia" w:hAnsi="Georgia"/>
          <w:color w:val="1F2937"/>
          <w:sz w:val="24"/>
          <w:szCs w:val="24"/>
        </w:rPr>
        <w:t xml:space="preserve">how closely the simulation operates by the rules of its reference domain. The axis the governance definition treats as primary.</w:t>
      </w:r>
    </w:p>
    <w:p>
      <w:pPr>
        <w:spacing w:before="120" w:after="160"/>
      </w:pPr>
      <w:r>
        <w:rPr>
          <w:rFonts w:ascii="Georgia" w:cs="Georgia" w:eastAsia="Georgia" w:hAnsi="Georgia"/>
          <w:b/>
          <w:bCs/>
          <w:color w:val="060A0D"/>
          <w:sz w:val="24"/>
          <w:szCs w:val="24"/>
        </w:rPr>
        <w:t xml:space="preserve">Structural fidelity — </w:t>
      </w:r>
      <w:r>
        <w:rPr>
          <w:rFonts w:ascii="Georgia" w:cs="Georgia" w:eastAsia="Georgia" w:hAnsi="Georgia"/>
          <w:color w:val="1F2937"/>
          <w:sz w:val="24"/>
          <w:szCs w:val="24"/>
        </w:rPr>
        <w:t xml:space="preserve">how completely the simulation captures the range of possible states and transitions in the reference domain. A chess engine has high structural fidelity because it can represent any legal chess position.</w:t>
      </w:r>
    </w:p>
    <w:p>
      <w:pPr>
        <w:spacing w:before="0" w:after="200"/>
      </w:pPr>
      <w:r>
        <w:rPr>
          <w:rFonts w:ascii="Georgia" w:cs="Georgia" w:eastAsia="Georgia" w:hAnsi="Georgia"/>
          <w:color w:val="1F2937"/>
          <w:sz w:val="24"/>
          <w:szCs w:val="24"/>
        </w:rPr>
        <w:t xml:space="preserve">These axes are independent. A system can have high representational fidelity and low behavioral fidelity — a decorative chess set where the pieces don't move correctly. A system can have high behavioral fidelity and zero representational fidelity — a chess engine running in a terminal window. The most interesting design space is high behavioral fidelity at low representational fidelity: systems that operate exactly like their domains while looking nothing like them.</w:t>
      </w:r>
    </w:p>
    <w:p>
      <w:pPr>
        <w:spacing w:before="0" w:after="200"/>
      </w:pPr>
      <w:r>
        <w:rPr>
          <w:rFonts w:ascii="Georgia" w:cs="Georgia" w:eastAsia="Georgia" w:hAnsi="Georgia"/>
          <w:color w:val="1F2937"/>
          <w:sz w:val="24"/>
          <w:szCs w:val="24"/>
        </w:rPr>
        <w:t xml:space="preserve">The TMOS13 pack library occupies this space deliberately. The legal_intake pack looks nothing like a law office. It operates by the rules a competent legal intake follows. The behavioral fidelity is high. The representational fidelity is zero. This is not a limitation — it is a design principle.</w:t>
      </w:r>
    </w:p>
    <w:p>
      <w:pPr>
        <w:pStyle w:val="Heading2"/>
        <w:spacing w:before="360" w:after="120"/>
      </w:pPr>
      <w:r>
        <w:rPr>
          <w:rFonts w:ascii="Arial" w:cs="Arial" w:eastAsia="Arial" w:hAnsi="Arial"/>
          <w:b/>
          <w:bCs/>
          <w:color w:val="2563EB"/>
          <w:sz w:val="26"/>
          <w:szCs w:val="26"/>
        </w:rPr>
        <w:t xml:space="preserve">2. Consequence</w:t>
      </w:r>
    </w:p>
    <w:p>
      <w:pPr>
        <w:spacing w:before="0" w:after="200"/>
      </w:pPr>
      <w:r>
        <w:rPr>
          <w:rFonts w:ascii="Georgia" w:cs="Georgia" w:eastAsia="Georgia" w:hAnsi="Georgia"/>
          <w:color w:val="1F2937"/>
          <w:sz w:val="24"/>
          <w:szCs w:val="24"/>
        </w:rPr>
        <w:t xml:space="preserve">The consequence axis measures the degree to which outputs from the simulation produce effects that persist in the world outside the simulation.</w:t>
      </w:r>
    </w:p>
    <w:p>
      <w:pPr>
        <w:spacing w:before="120" w:after="160"/>
      </w:pPr>
      <w:r>
        <w:rPr>
          <w:rFonts w:ascii="Georgia" w:cs="Georgia" w:eastAsia="Georgia" w:hAnsi="Georgia"/>
          <w:b/>
          <w:bCs/>
          <w:color w:val="060A0D"/>
          <w:sz w:val="24"/>
          <w:szCs w:val="24"/>
        </w:rPr>
        <w:t xml:space="preserve">Zero consequence — </w:t>
      </w:r>
      <w:r>
        <w:rPr>
          <w:rFonts w:ascii="Georgia" w:cs="Georgia" w:eastAsia="Georgia" w:hAnsi="Georgia"/>
          <w:color w:val="1F2937"/>
          <w:sz w:val="24"/>
          <w:szCs w:val="24"/>
        </w:rPr>
        <w:t xml:space="preserve">outputs are entirely contained. The escape room session ends and nothing outside the session is affected.</w:t>
      </w:r>
    </w:p>
    <w:p>
      <w:pPr>
        <w:spacing w:before="120" w:after="160"/>
      </w:pPr>
      <w:r>
        <w:rPr>
          <w:rFonts w:ascii="Georgia" w:cs="Georgia" w:eastAsia="Georgia" w:hAnsi="Georgia"/>
          <w:b/>
          <w:bCs/>
          <w:color w:val="060A0D"/>
          <w:sz w:val="24"/>
          <w:szCs w:val="24"/>
        </w:rPr>
        <w:t xml:space="preserve">Mediated consequence — </w:t>
      </w:r>
      <w:r>
        <w:rPr>
          <w:rFonts w:ascii="Georgia" w:cs="Georgia" w:eastAsia="Georgia" w:hAnsi="Georgia"/>
          <w:color w:val="1F2937"/>
          <w:sz w:val="24"/>
          <w:szCs w:val="24"/>
        </w:rPr>
        <w:t xml:space="preserve">outputs inform decisions that have real-world effects. The legal intake produces a case brief that a lawyer reviews. The simulation output crosses the membrane through a human decision-maker who evaluates and acts on it.</w:t>
      </w:r>
    </w:p>
    <w:p>
      <w:pPr>
        <w:spacing w:before="120" w:after="160"/>
      </w:pPr>
      <w:r>
        <w:rPr>
          <w:rFonts w:ascii="Georgia" w:cs="Georgia" w:eastAsia="Georgia" w:hAnsi="Georgia"/>
          <w:b/>
          <w:bCs/>
          <w:color w:val="060A0D"/>
          <w:sz w:val="24"/>
          <w:szCs w:val="24"/>
        </w:rPr>
        <w:t xml:space="preserve">Direct consequence — </w:t>
      </w:r>
      <w:r>
        <w:rPr>
          <w:rFonts w:ascii="Georgia" w:cs="Georgia" w:eastAsia="Georgia" w:hAnsi="Georgia"/>
          <w:color w:val="1F2937"/>
          <w:sz w:val="24"/>
          <w:szCs w:val="24"/>
        </w:rPr>
        <w:t xml:space="preserve">outputs themselves constitute real-world effects without requiring human mediation. A crisis intervention session that routes to 988 does not merely inform a decision — it is the decision. The routing rule fires, the number appears, the call is made or not made.</w:t>
      </w:r>
    </w:p>
    <w:p>
      <w:pPr>
        <w:spacing w:before="0" w:after="200"/>
      </w:pPr>
      <w:r>
        <w:rPr>
          <w:rFonts w:ascii="Georgia" w:cs="Georgia" w:eastAsia="Georgia" w:hAnsi="Georgia"/>
          <w:color w:val="1F2937"/>
          <w:sz w:val="24"/>
          <w:szCs w:val="24"/>
        </w:rPr>
        <w:t xml:space="preserve">The consequence axis is not a quality axis. Zero-consequence simulations are not worse than high-consequence simulations — they serve different purposes. But consequence permeability is a critical variable in simulation design and governance. A zero-consequence simulation can afford loose rules because the cost of error is low. A high-consequence simulation requires rigorous governance because errors have real-world effects.</w:t>
      </w:r>
    </w:p>
    <w:p>
      <w:pPr>
        <w:pStyle w:val="Heading2"/>
        <w:spacing w:before="360" w:after="120"/>
      </w:pPr>
      <w:r>
        <w:rPr>
          <w:rFonts w:ascii="Arial" w:cs="Arial" w:eastAsia="Arial" w:hAnsi="Arial"/>
          <w:b/>
          <w:bCs/>
          <w:color w:val="2563EB"/>
          <w:sz w:val="26"/>
          <w:szCs w:val="26"/>
        </w:rPr>
        <w:t xml:space="preserve">3. Governedness</w:t>
      </w:r>
    </w:p>
    <w:p>
      <w:pPr>
        <w:spacing w:before="0" w:after="200"/>
      </w:pPr>
      <w:r>
        <w:rPr>
          <w:rFonts w:ascii="Georgia" w:cs="Georgia" w:eastAsia="Georgia" w:hAnsi="Georgia"/>
          <w:color w:val="1F2937"/>
          <w:sz w:val="24"/>
          <w:szCs w:val="24"/>
        </w:rPr>
        <w:t xml:space="preserve">Governedness is the axis the TMOS13 framework contributes to simulation theory.</w:t>
      </w:r>
    </w:p>
    <w:p>
      <w:pPr>
        <w:spacing w:before="0" w:after="200"/>
      </w:pPr>
      <w:r>
        <w:rPr>
          <w:rFonts w:ascii="Georgia" w:cs="Georgia" w:eastAsia="Georgia" w:hAnsi="Georgia"/>
          <w:color w:val="1F2937"/>
          <w:sz w:val="24"/>
          <w:szCs w:val="24"/>
        </w:rPr>
        <w:t xml:space="preserve">Governedness measures the completeness, explicitness, and auditability of the rule structure that constrains the simulation. A highly governed simulation has comprehensive, explicitly authored rules that are readable, auditable, and derivable from domain expertise. A lightly governed simulation has implicit rules embedded in physics engines, probability distributions, or trained model weights that are not directly readable or auditable.</w:t>
      </w:r>
    </w:p>
    <w:p>
      <w:pPr>
        <w:spacing w:before="120" w:after="160"/>
      </w:pPr>
      <w:r>
        <w:rPr>
          <w:rFonts w:ascii="Georgia" w:cs="Georgia" w:eastAsia="Georgia" w:hAnsi="Georgia"/>
          <w:b/>
          <w:bCs/>
          <w:color w:val="060A0D"/>
          <w:sz w:val="24"/>
          <w:szCs w:val="24"/>
        </w:rPr>
        <w:t xml:space="preserve">Implicit governance — </w:t>
      </w:r>
      <w:r>
        <w:rPr>
          <w:rFonts w:ascii="Georgia" w:cs="Georgia" w:eastAsia="Georgia" w:hAnsi="Georgia"/>
          <w:color w:val="1F2937"/>
          <w:sz w:val="24"/>
          <w:szCs w:val="24"/>
        </w:rPr>
        <w:t xml:space="preserve">rules are embedded in the simulation's computational substrate. A physics engine governs a game world implicitly: the rules are real but not readable. You cannot audit a physics engine by reading it the way you audit a legal code.</w:t>
      </w:r>
    </w:p>
    <w:p>
      <w:pPr>
        <w:spacing w:before="120" w:after="160"/>
      </w:pPr>
      <w:r>
        <w:rPr>
          <w:rFonts w:ascii="Georgia" w:cs="Georgia" w:eastAsia="Georgia" w:hAnsi="Georgia"/>
          <w:b/>
          <w:bCs/>
          <w:color w:val="060A0D"/>
          <w:sz w:val="24"/>
          <w:szCs w:val="24"/>
        </w:rPr>
        <w:t xml:space="preserve">Parametric governance — </w:t>
      </w:r>
      <w:r>
        <w:rPr>
          <w:rFonts w:ascii="Georgia" w:cs="Georgia" w:eastAsia="Georgia" w:hAnsi="Georgia"/>
          <w:color w:val="1F2937"/>
          <w:sz w:val="24"/>
          <w:szCs w:val="24"/>
        </w:rPr>
        <w:t xml:space="preserve">rules are defined as parameters that can be adjusted but not read as prose. A statistical model's parameters are governance: they constrain the simulation's behavior but are not interpretable as propositions a domain expert would recognize.</w:t>
      </w:r>
    </w:p>
    <w:p>
      <w:pPr>
        <w:spacing w:before="120" w:after="160"/>
      </w:pPr>
      <w:r>
        <w:rPr>
          <w:rFonts w:ascii="Georgia" w:cs="Georgia" w:eastAsia="Georgia" w:hAnsi="Georgia"/>
          <w:b/>
          <w:bCs/>
          <w:color w:val="060A0D"/>
          <w:sz w:val="24"/>
          <w:szCs w:val="24"/>
        </w:rPr>
        <w:t xml:space="preserve">Authored behavioral governance — </w:t>
      </w:r>
      <w:r>
        <w:rPr>
          <w:rFonts w:ascii="Georgia" w:cs="Georgia" w:eastAsia="Georgia" w:hAnsi="Georgia"/>
          <w:color w:val="1F2937"/>
          <w:sz w:val="24"/>
          <w:szCs w:val="24"/>
        </w:rPr>
        <w:t xml:space="preserve">rules are written in natural language by domain experts, stored as explicit propositions, and interpreted by a language model at runtime. The rules are readable, auditable, and derivable. A clinician reading the medical_intake manifest can verify that the routing rules reflect clinical standards.</w:t>
      </w:r>
    </w:p>
    <w:p>
      <w:pPr>
        <w:pBdr>
          <w:left w:val="single" w:color="2563EB" w:sz="24" w:space="12"/>
        </w:pBdr>
        <w:spacing w:before="280" w:after="280"/>
        <w:ind w:left="480"/>
      </w:pPr>
      <w:r>
        <w:rPr>
          <w:rFonts w:ascii="Georgia" w:cs="Georgia" w:eastAsia="Georgia" w:hAnsi="Georgia"/>
          <w:i/>
          <w:iCs/>
          <w:color w:val="2563EB"/>
          <w:sz w:val="28"/>
          <w:szCs w:val="28"/>
        </w:rPr>
        <w:t xml:space="preserve">Authored behavioral governance is new. Prior to language models capable of interpreting natural language as executable instruction, this form of governance was not possible at scale.</w:t>
      </w:r>
    </w:p>
    <w:p>
      <w:pPr>
        <w:spacing w:before="0" w:after="200"/>
      </w:pPr>
      <w:r>
        <w:rPr>
          <w:rFonts w:ascii="Georgia" w:cs="Georgia" w:eastAsia="Georgia" w:hAnsi="Georgia"/>
          <w:color w:val="1F2937"/>
          <w:sz w:val="24"/>
          <w:szCs w:val="24"/>
        </w:rPr>
        <w:t xml:space="preserve">The language model as interpreter dissolves the translation requirement. The rules remain in natural language. The domain expert can read and audit them. The simulation can execute them. The governance layer is simultaneously human-readable and machine-executable.</w:t>
      </w:r>
    </w:p>
    <w:p>
      <w:pPr>
        <w:pStyle w:val="Heading1"/>
        <w:spacing w:before="480" w:after="120"/>
      </w:pPr>
      <w:r>
        <w:rPr>
          <w:rFonts w:ascii="Arial" w:cs="Arial" w:eastAsia="Arial" w:hAnsi="Arial"/>
          <w:b/>
          <w:bCs/>
          <w:color w:val="060A0D"/>
          <w:sz w:val="36"/>
          <w:szCs w:val="36"/>
        </w:rPr>
        <w:t xml:space="preserve">IV. The Consequence Membrane</w:t>
      </w:r>
    </w:p>
    <w:p>
      <w:pPr>
        <w:spacing w:before="0" w:after="200"/>
      </w:pPr>
      <w:r>
        <w:rPr>
          <w:rFonts w:ascii="Georgia" w:cs="Georgia" w:eastAsia="Georgia" w:hAnsi="Georgia"/>
          <w:color w:val="1F2937"/>
          <w:sz w:val="24"/>
          <w:szCs w:val="24"/>
        </w:rPr>
        <w:t xml:space="preserve">If consequence is a continuous axis rather than a binary, simulation theory needs a theory of how simulation outputs cross the membrane between the simulation and the world.</w:t>
      </w:r>
    </w:p>
    <w:p>
      <w:pPr>
        <w:spacing w:before="0" w:after="200"/>
      </w:pPr>
      <w:r>
        <w:rPr>
          <w:rFonts w:ascii="Georgia" w:cs="Georgia" w:eastAsia="Georgia" w:hAnsi="Georgia"/>
          <w:color w:val="1F2937"/>
          <w:sz w:val="24"/>
          <w:szCs w:val="24"/>
        </w:rPr>
        <w:t xml:space="preserve">The consequence membrane is not a fixed boundary. It is a semi-permeable interface whose permeability is determined by the governance architecture of the simulation. A highly governed simulation — one whose rules reflect the actual decision rules of the reference domain — has higher consequence permeability by design. It was built to produce outputs that can cross the membrane.</w:t>
      </w:r>
    </w:p>
    <w:p>
      <w:pPr>
        <w:pBdr>
          <w:left w:val="single" w:color="2563EB" w:sz="24" w:space="12"/>
        </w:pBdr>
        <w:spacing w:before="280" w:after="280"/>
        <w:ind w:left="480"/>
      </w:pPr>
      <w:r>
        <w:rPr>
          <w:rFonts w:ascii="Georgia" w:cs="Georgia" w:eastAsia="Georgia" w:hAnsi="Georgia"/>
          <w:i/>
          <w:iCs/>
          <w:color w:val="2563EB"/>
          <w:sz w:val="28"/>
          <w:szCs w:val="28"/>
        </w:rPr>
        <w:t xml:space="preserve">Well-governed simulations are more dangerous than poorly governed ones, not less. A lightly governed simulation produces outputs that no one would trust with real consequences. A rigorously governed simulation produces outputs that could be trusted — and therefore might be, with or without appropriate human review.</w:t>
      </w:r>
    </w:p>
    <w:p>
      <w:pPr>
        <w:spacing w:before="0" w:after="200"/>
      </w:pPr>
      <w:r>
        <w:rPr>
          <w:rFonts w:ascii="Georgia" w:cs="Georgia" w:eastAsia="Georgia" w:hAnsi="Georgia"/>
          <w:color w:val="1F2937"/>
          <w:sz w:val="24"/>
          <w:szCs w:val="24"/>
        </w:rPr>
        <w:t xml:space="preserve">The governance architecture must account for this. The routing rule that routes crisis symptoms to emergency services unconditionally is simultaneously a governance rule and a membrane rule: it specifies both what the simulation does and how its output interacts with the world outside it.</w:t>
      </w:r>
    </w:p>
    <w:p>
      <w:pPr>
        <w:spacing w:before="0" w:after="200"/>
      </w:pPr>
      <w:r>
        <w:rPr>
          <w:rFonts w:ascii="Georgia" w:cs="Georgia" w:eastAsia="Georgia" w:hAnsi="Georgia"/>
          <w:color w:val="1F2937"/>
          <w:sz w:val="24"/>
          <w:szCs w:val="24"/>
        </w:rPr>
        <w:t xml:space="preserve">A complete simulation ontology must specify not just the rules that govern behavior within the simulation but the rules that govern how simulation outputs interact with the world. The consequence membrane is part of the governance architecture.</w:t>
      </w:r>
    </w:p>
    <w:p>
      <w:pPr>
        <w:pStyle w:val="Heading1"/>
        <w:spacing w:before="480" w:after="120"/>
      </w:pPr>
      <w:r>
        <w:rPr>
          <w:rFonts w:ascii="Arial" w:cs="Arial" w:eastAsia="Arial" w:hAnsi="Arial"/>
          <w:b/>
          <w:bCs/>
          <w:color w:val="060A0D"/>
          <w:sz w:val="36"/>
          <w:szCs w:val="36"/>
        </w:rPr>
        <w:t xml:space="preserve">V. The Inversion Principle</w:t>
      </w:r>
    </w:p>
    <w:p>
      <w:pPr>
        <w:spacing w:before="0" w:after="200"/>
      </w:pPr>
      <w:r>
        <w:rPr>
          <w:rFonts w:ascii="Georgia" w:cs="Georgia" w:eastAsia="Georgia" w:hAnsi="Georgia"/>
          <w:color w:val="1F2937"/>
          <w:sz w:val="24"/>
          <w:szCs w:val="24"/>
        </w:rPr>
        <w:t xml:space="preserve">We return to the name.</w:t>
      </w:r>
    </w:p>
    <w:p>
      <w:pPr>
        <w:spacing w:before="0" w:after="200"/>
      </w:pPr>
      <w:r>
        <w:rPr>
          <w:rFonts w:ascii="Georgia" w:cs="Georgia" w:eastAsia="Georgia" w:hAnsi="Georgia"/>
          <w:color w:val="1F2937"/>
          <w:sz w:val="24"/>
          <w:szCs w:val="24"/>
        </w:rPr>
        <w:t xml:space="preserve">TMOS13 and 13TMOS are surface and substrate. Each is a valid perspective on the same system. The surface is the rendered experience — the user interacts with outputs without necessarily knowing the rules that produced them. The substrate is the governance layer — the rules are visible, the protocols are the interface, the behavior is determined entirely by what is authored.</w:t>
      </w:r>
    </w:p>
    <w:p>
      <w:pPr>
        <w:pBdr>
          <w:left w:val="single" w:color="2563EB" w:sz="24" w:space="12"/>
        </w:pBdr>
        <w:spacing w:before="280" w:after="280"/>
        <w:ind w:left="480"/>
      </w:pPr>
      <w:r>
        <w:rPr>
          <w:rFonts w:ascii="Georgia" w:cs="Georgia" w:eastAsia="Georgia" w:hAnsi="Georgia"/>
          <w:i/>
          <w:iCs/>
          <w:color w:val="2563EB"/>
          <w:sz w:val="28"/>
          <w:szCs w:val="28"/>
        </w:rPr>
        <w:t xml:space="preserve">A complete simulation exists simultaneously as both surface and substrate, and the validity of the simulation is determined by the substrate — by the governance layer — not by the surface.</w:t>
      </w:r>
    </w:p>
    <w:p>
      <w:pPr>
        <w:spacing w:before="0" w:after="200"/>
      </w:pPr>
      <w:r>
        <w:rPr>
          <w:rFonts w:ascii="Georgia" w:cs="Georgia" w:eastAsia="Georgia" w:hAnsi="Georgia"/>
          <w:color w:val="1F2937"/>
          <w:sz w:val="24"/>
          <w:szCs w:val="24"/>
        </w:rPr>
        <w:t xml:space="preserve">This principle has three implications.</w:t>
      </w:r>
    </w:p>
    <w:p>
      <w:pPr>
        <w:spacing w:before="120" w:after="160"/>
      </w:pPr>
      <w:r>
        <w:rPr>
          <w:rFonts w:ascii="Georgia" w:cs="Georgia" w:eastAsia="Georgia" w:hAnsi="Georgia"/>
          <w:b/>
          <w:bCs/>
          <w:color w:val="060A0D"/>
          <w:sz w:val="24"/>
          <w:szCs w:val="24"/>
        </w:rPr>
        <w:t xml:space="preserve">Implication 1: Simulation identity is governance identity. </w:t>
      </w:r>
      <w:r>
        <w:rPr>
          <w:rFonts w:ascii="Georgia" w:cs="Georgia" w:eastAsia="Georgia" w:hAnsi="Georgia"/>
          <w:color w:val="1F2937"/>
          <w:sz w:val="24"/>
          <w:szCs w:val="24"/>
        </w:rPr>
        <w:t xml:space="preserve">Two simulations with identical surfaces but different governance architectures are different simulations. Two simulations with identical governance architectures but different surfaces are the same simulation.</w:t>
      </w:r>
    </w:p>
    <w:p>
      <w:pPr>
        <w:spacing w:before="120" w:after="160"/>
      </w:pPr>
      <w:r>
        <w:rPr>
          <w:rFonts w:ascii="Georgia" w:cs="Georgia" w:eastAsia="Georgia" w:hAnsi="Georgia"/>
          <w:b/>
          <w:bCs/>
          <w:color w:val="060A0D"/>
          <w:sz w:val="24"/>
          <w:szCs w:val="24"/>
        </w:rPr>
        <w:t xml:space="preserve">Implication 2: The surface is derived. </w:t>
      </w:r>
      <w:r>
        <w:rPr>
          <w:rFonts w:ascii="Georgia" w:cs="Georgia" w:eastAsia="Georgia" w:hAnsi="Georgia"/>
          <w:color w:val="1F2937"/>
          <w:sz w:val="24"/>
          <w:szCs w:val="24"/>
        </w:rPr>
        <w:t xml:space="preserve">Everything the user experiences as the simulation is derived from the governance layer. The rendering, the dialogue, the outputs — these are consequences of the rules, not the rules themselves. The surface can change without changing the simulation.</w:t>
      </w:r>
    </w:p>
    <w:p>
      <w:pPr>
        <w:spacing w:before="120" w:after="160"/>
      </w:pPr>
      <w:r>
        <w:rPr>
          <w:rFonts w:ascii="Georgia" w:cs="Georgia" w:eastAsia="Georgia" w:hAnsi="Georgia"/>
          <w:b/>
          <w:bCs/>
          <w:color w:val="060A0D"/>
          <w:sz w:val="24"/>
          <w:szCs w:val="24"/>
        </w:rPr>
        <w:t xml:space="preserve">Implication 3: The invariant is the governance layer. </w:t>
      </w:r>
      <w:r>
        <w:rPr>
          <w:rFonts w:ascii="Georgia" w:cs="Georgia" w:eastAsia="Georgia" w:hAnsi="Georgia"/>
          <w:color w:val="1F2937"/>
          <w:sz w:val="24"/>
          <w:szCs w:val="24"/>
        </w:rPr>
        <w:t xml:space="preserve">The 13 in TMOS13 and 13TMOS does not change orientation across the inversion. The governance constant holds. Whatever the rendering surface, whatever the execution substrate, whatever the user experience — the protocols are the thing that persists. The rules define what the simulation is. The surface is how you see it. The governance is what it is.</w:t>
      </w:r>
    </w:p>
    <w:p>
      <w:pPr>
        <w:pStyle w:val="Heading1"/>
        <w:spacing w:before="480" w:after="120"/>
      </w:pPr>
      <w:r>
        <w:rPr>
          <w:rFonts w:ascii="Arial" w:cs="Arial" w:eastAsia="Arial" w:hAnsi="Arial"/>
          <w:b/>
          <w:bCs/>
          <w:color w:val="060A0D"/>
          <w:sz w:val="36"/>
          <w:szCs w:val="36"/>
        </w:rPr>
        <w:t xml:space="preserve">VI. The Library as Evidence</w:t>
      </w:r>
    </w:p>
    <w:p>
      <w:pPr>
        <w:spacing w:before="0" w:after="200"/>
      </w:pPr>
      <w:r>
        <w:rPr>
          <w:rFonts w:ascii="Georgia" w:cs="Georgia" w:eastAsia="Georgia" w:hAnsi="Georgia"/>
          <w:color w:val="1F2937"/>
          <w:sz w:val="24"/>
          <w:szCs w:val="24"/>
        </w:rPr>
        <w:t xml:space="preserve">Each pack is a simulation in the sense this document has developed: a governed instantiation of a domain's rule structure, authored in natural language, executed by a language model, producing outputs that vary in consequence from zero (entertainment simulations) to significant (clinical and crisis simulations).</w:t>
      </w:r>
    </w:p>
    <w:p>
      <w:pPr>
        <w:spacing w:before="0" w:after="200"/>
      </w:pPr>
      <w:r>
        <w:rPr>
          <w:rFonts w:ascii="Georgia" w:cs="Georgia" w:eastAsia="Georgia" w:hAnsi="Georgia"/>
          <w:color w:val="1F2937"/>
          <w:sz w:val="24"/>
          <w:szCs w:val="24"/>
        </w:rPr>
        <w:t xml:space="preserve">The library demonstrates several things that simulation theory has not previously had empirical grounds to claim.</w:t>
      </w:r>
    </w:p>
    <w:p>
      <w:pPr>
        <w:spacing w:before="120" w:after="160"/>
      </w:pPr>
      <w:r>
        <w:rPr>
          <w:rFonts w:ascii="Georgia" w:cs="Georgia" w:eastAsia="Georgia" w:hAnsi="Georgia"/>
          <w:b/>
          <w:bCs/>
          <w:color w:val="060A0D"/>
          <w:sz w:val="24"/>
          <w:szCs w:val="24"/>
        </w:rPr>
        <w:t xml:space="preserve">Domain breadth at consistent governance depth. </w:t>
      </w:r>
      <w:r>
        <w:rPr>
          <w:rFonts w:ascii="Georgia" w:cs="Georgia" w:eastAsia="Georgia" w:hAnsi="Georgia"/>
          <w:color w:val="1F2937"/>
          <w:sz w:val="24"/>
          <w:szCs w:val="24"/>
        </w:rPr>
        <w:t xml:space="preserve">Agriculture, architecture, criminal justice, diplomatic protocol, sports medicine, refugee resettlement — each domain has a pack that operates by that domain's rules, authored by applying domain knowledge to a protocol format. The consistency of governance depth across radically different domains suggests that authored behavioral governance is a general methodology, not a domain-specific trick.</w:t>
      </w:r>
    </w:p>
    <w:p>
      <w:pPr>
        <w:spacing w:before="120" w:after="160"/>
      </w:pPr>
      <w:r>
        <w:rPr>
          <w:rFonts w:ascii="Georgia" w:cs="Georgia" w:eastAsia="Georgia" w:hAnsi="Georgia"/>
          <w:b/>
          <w:bCs/>
          <w:color w:val="060A0D"/>
          <w:sz w:val="24"/>
          <w:szCs w:val="24"/>
        </w:rPr>
        <w:t xml:space="preserve">Consequence differentiation within a single framework. </w:t>
      </w:r>
      <w:r>
        <w:rPr>
          <w:rFonts w:ascii="Georgia" w:cs="Georgia" w:eastAsia="Georgia" w:hAnsi="Georgia"/>
          <w:color w:val="1F2937"/>
          <w:sz w:val="24"/>
          <w:szCs w:val="24"/>
        </w:rPr>
        <w:t xml:space="preserve">The same governance architecture produces simulations ranging from zero-consequence to high-consequence. The consequence axis is a property of the pack's design, not a limitation of the architecture.</w:t>
      </w:r>
    </w:p>
    <w:p>
      <w:pPr>
        <w:spacing w:before="120" w:after="160"/>
      </w:pPr>
      <w:r>
        <w:rPr>
          <w:rFonts w:ascii="Georgia" w:cs="Georgia" w:eastAsia="Georgia" w:hAnsi="Georgia"/>
          <w:b/>
          <w:bCs/>
          <w:color w:val="060A0D"/>
          <w:sz w:val="24"/>
          <w:szCs w:val="24"/>
        </w:rPr>
        <w:t xml:space="preserve">Domain-expert authorship. </w:t>
      </w:r>
      <w:r>
        <w:rPr>
          <w:rFonts w:ascii="Georgia" w:cs="Georgia" w:eastAsia="Georgia" w:hAnsi="Georgia"/>
          <w:color w:val="1F2937"/>
          <w:sz w:val="24"/>
          <w:szCs w:val="24"/>
        </w:rPr>
        <w:t xml:space="preserve">The library was built through a workflow in which domain knowledge was translated directly into protocol rules without passing through a code translation step. A clinical standard becomes a routing rule. A legal obligation becomes a prohibited action. A professional best practice becomes a kill list item.</w:t>
      </w:r>
    </w:p>
    <w:p>
      <w:pPr>
        <w:spacing w:before="120" w:after="160"/>
      </w:pPr>
      <w:r>
        <w:rPr>
          <w:rFonts w:ascii="Georgia" w:cs="Georgia" w:eastAsia="Georgia" w:hAnsi="Georgia"/>
          <w:b/>
          <w:bCs/>
          <w:color w:val="060A0D"/>
          <w:sz w:val="24"/>
          <w:szCs w:val="24"/>
        </w:rPr>
        <w:t xml:space="preserve">Governance as product. </w:t>
      </w:r>
      <w:r>
        <w:rPr>
          <w:rFonts w:ascii="Georgia" w:cs="Georgia" w:eastAsia="Georgia" w:hAnsi="Georgia"/>
          <w:color w:val="1F2937"/>
          <w:sz w:val="24"/>
          <w:szCs w:val="24"/>
        </w:rPr>
        <w:t xml:space="preserve">In every prior simulation framework, the governance layer is infrastructure — the rules are means to an end, the end being the experience. In the TMOS13 library, the governance layer is itself the product. The protocol files are the deliverable. The experience is the consequence of the governance, not the goal of it.</w:t>
      </w:r>
    </w:p>
    <w:p>
      <w:pPr>
        <w:pStyle w:val="Heading1"/>
        <w:spacing w:before="480" w:after="120"/>
      </w:pPr>
      <w:r>
        <w:rPr>
          <w:rFonts w:ascii="Arial" w:cs="Arial" w:eastAsia="Arial" w:hAnsi="Arial"/>
          <w:b/>
          <w:bCs/>
          <w:color w:val="060A0D"/>
          <w:sz w:val="36"/>
          <w:szCs w:val="36"/>
        </w:rPr>
        <w:t xml:space="preserve">VII. Connection to Physical Reality</w:t>
      </w:r>
    </w:p>
    <w:p>
      <w:pPr>
        <w:spacing w:before="0" w:after="200"/>
      </w:pPr>
      <w:r>
        <w:rPr>
          <w:rFonts w:ascii="Georgia" w:cs="Georgia" w:eastAsia="Georgia" w:hAnsi="Georgia"/>
          <w:color w:val="1F2937"/>
          <w:sz w:val="24"/>
          <w:szCs w:val="24"/>
        </w:rPr>
        <w:t xml:space="preserve">This document began as a software ontology. It arrives, as these arguments tend to, at cosmology.</w:t>
      </w:r>
    </w:p>
    <w:p>
      <w:pPr>
        <w:spacing w:before="0" w:after="200"/>
      </w:pPr>
      <w:r>
        <w:rPr>
          <w:rFonts w:ascii="Georgia" w:cs="Georgia" w:eastAsia="Georgia" w:hAnsi="Georgia"/>
          <w:color w:val="1F2937"/>
          <w:sz w:val="24"/>
          <w:szCs w:val="24"/>
        </w:rPr>
        <w:t xml:space="preserve">The simulation hypothesis — in its Bostrom formulation, its Tegmark formulation, its Wolfram computational irreducibility formulation — asks whether physical reality is itself a simulation: a computational process that produces the appearance of a world with laws and entities operating within it. The evidence is circumstantial but persistent: the quantization of space and time, the information-theoretic structure of quantum mechanics, the computational compressibility of physical law.</w:t>
      </w:r>
    </w:p>
    <w:p>
      <w:pPr>
        <w:spacing w:before="0" w:after="200"/>
      </w:pPr>
      <w:r>
        <w:rPr>
          <w:rFonts w:ascii="Georgia" w:cs="Georgia" w:eastAsia="Georgia" w:hAnsi="Georgia"/>
          <w:color w:val="1F2937"/>
          <w:sz w:val="24"/>
          <w:szCs w:val="24"/>
        </w:rPr>
        <w:t xml:space="preserve">The governance definition of simulation, if taken seriously, has something to say about these formulations that the representational definition does not.</w:t>
      </w:r>
    </w:p>
    <w:p>
      <w:pPr>
        <w:spacing w:before="0" w:after="200"/>
      </w:pPr>
      <w:r>
        <w:rPr>
          <w:rFonts w:ascii="Georgia" w:cs="Georgia" w:eastAsia="Georgia" w:hAnsi="Georgia"/>
          <w:color w:val="1F2937"/>
          <w:sz w:val="24"/>
          <w:szCs w:val="24"/>
        </w:rPr>
        <w:t xml:space="preserve">If a simulation is a governed instantiation of a domain's rule structure, then the question of whether physical reality is a simulation is the question of whether physical reality has a governance layer — a rule structure that is more fundamental than the appearances it generates. The answer, in physics, is unambiguously yes. The laws of physics are precisely this: a rule structure that generates appearances. Particles, fields, space, time — these are the surface. The laws are the substrate. The constants are the invariants that persist across the inversions we can perform on the theory.</w:t>
      </w:r>
    </w:p>
    <w:p>
      <w:pPr>
        <w:pBdr>
          <w:left w:val="single" w:color="2563EB" w:sz="24" w:space="12"/>
        </w:pBdr>
        <w:spacing w:before="280" w:after="280"/>
        <w:ind w:left="480"/>
      </w:pPr>
      <w:r>
        <w:rPr>
          <w:rFonts w:ascii="Georgia" w:cs="Georgia" w:eastAsia="Georgia" w:hAnsi="Georgia"/>
          <w:i/>
          <w:iCs/>
          <w:color w:val="2563EB"/>
          <w:sz w:val="28"/>
          <w:szCs w:val="28"/>
        </w:rPr>
        <w:t xml:space="preserve">If physical reality is a simulation, it is a simulation of the authored behavioral governance type. The laws of physics are not a physics engine. They are authored: they have a form that is in principle legible, that can be read as propositions, that can be verified against observation, and that domain experts can audit and update.</w:t>
      </w:r>
    </w:p>
    <w:p>
      <w:pPr>
        <w:spacing w:before="0" w:after="200"/>
      </w:pPr>
      <w:r>
        <w:rPr>
          <w:rFonts w:ascii="Georgia" w:cs="Georgia" w:eastAsia="Georgia" w:hAnsi="Georgia"/>
          <w:color w:val="1F2937"/>
          <w:sz w:val="24"/>
          <w:szCs w:val="24"/>
        </w:rPr>
        <w:t xml:space="preserve">The reason science works is that the governance layer of physical reality is authored in a form that human reasoning can access. We cannot read it in natural language; we read it in mathematics. But the structural relationship — explicit, auditable, authored rule structure generating a rendered surface — is the same.</w:t>
      </w:r>
    </w:p>
    <w:p>
      <w:pPr>
        <w:spacing w:before="0" w:after="200"/>
      </w:pPr>
      <w:r>
        <w:rPr>
          <w:rFonts w:ascii="Georgia" w:cs="Georgia" w:eastAsia="Georgia" w:hAnsi="Georgia"/>
          <w:color w:val="1F2937"/>
          <w:sz w:val="24"/>
          <w:szCs w:val="24"/>
        </w:rPr>
        <w:t xml:space="preserve">The 13 holds across that inversion too.</w:t>
      </w:r>
    </w:p>
    <w:p>
      <w:pPr>
        <w:pStyle w:val="Heading1"/>
        <w:spacing w:before="480" w:after="120"/>
      </w:pPr>
      <w:r>
        <w:rPr>
          <w:rFonts w:ascii="Arial" w:cs="Arial" w:eastAsia="Arial" w:hAnsi="Arial"/>
          <w:b/>
          <w:bCs/>
          <w:color w:val="060A0D"/>
          <w:sz w:val="36"/>
          <w:szCs w:val="36"/>
        </w:rPr>
        <w:t xml:space="preserve">VIII. Implications</w:t>
      </w:r>
    </w:p>
    <w:p>
      <w:pPr>
        <w:spacing w:before="120" w:after="160"/>
      </w:pPr>
      <w:r>
        <w:rPr>
          <w:rFonts w:ascii="Georgia" w:cs="Georgia" w:eastAsia="Georgia" w:hAnsi="Georgia"/>
          <w:b/>
          <w:bCs/>
          <w:color w:val="060A0D"/>
          <w:sz w:val="24"/>
          <w:szCs w:val="24"/>
        </w:rPr>
        <w:t xml:space="preserve">For AI governance. </w:t>
      </w:r>
      <w:r>
        <w:rPr>
          <w:rFonts w:ascii="Georgia" w:cs="Georgia" w:eastAsia="Georgia" w:hAnsi="Georgia"/>
          <w:color w:val="1F2937"/>
          <w:sz w:val="24"/>
          <w:szCs w:val="24"/>
        </w:rPr>
        <w:t xml:space="preserve">If simulation validity is determined by governance rather than appearance, then the evaluation of AI systems should focus on the governance architecture rather than the output quality. A well-governed AI that produces modest outputs is more trustworthy than a high-performing AI with an opaque governance layer. The regulatory frameworks emerging for AI systems — which currently focus almost entirely on output evaluation — are measuring the wrong thing. Outputs are the surface. Governance is the substrate.</w:t>
      </w:r>
    </w:p>
    <w:p>
      <w:pPr>
        <w:spacing w:before="120" w:after="160"/>
      </w:pPr>
      <w:r>
        <w:rPr>
          <w:rFonts w:ascii="Georgia" w:cs="Georgia" w:eastAsia="Georgia" w:hAnsi="Georgia"/>
          <w:b/>
          <w:bCs/>
          <w:color w:val="060A0D"/>
          <w:sz w:val="24"/>
          <w:szCs w:val="24"/>
        </w:rPr>
        <w:t xml:space="preserve">For regulated industry deployment. </w:t>
      </w:r>
      <w:r>
        <w:rPr>
          <w:rFonts w:ascii="Georgia" w:cs="Georgia" w:eastAsia="Georgia" w:hAnsi="Georgia"/>
          <w:color w:val="1F2937"/>
          <w:sz w:val="24"/>
          <w:szCs w:val="24"/>
        </w:rPr>
        <w:t xml:space="preserve">High-consequence simulations require explicit consequence governance in their architecture — not as an add-on but as a primary design requirement. A clinical decision support system operating on the high end of the consequence axis must have auditable routing rules that reflect clinical standards, not merely high accuracy on benchmark datasets. Accuracy is a surface metric. Governance is the substrate.</w:t>
      </w:r>
    </w:p>
    <w:p>
      <w:pPr>
        <w:spacing w:before="120" w:after="160"/>
      </w:pPr>
      <w:r>
        <w:rPr>
          <w:rFonts w:ascii="Georgia" w:cs="Georgia" w:eastAsia="Georgia" w:hAnsi="Georgia"/>
          <w:b/>
          <w:bCs/>
          <w:color w:val="060A0D"/>
          <w:sz w:val="24"/>
          <w:szCs w:val="24"/>
        </w:rPr>
        <w:t xml:space="preserve">For epistemology. </w:t>
      </w:r>
      <w:r>
        <w:rPr>
          <w:rFonts w:ascii="Georgia" w:cs="Georgia" w:eastAsia="Georgia" w:hAnsi="Georgia"/>
          <w:color w:val="1F2937"/>
          <w:sz w:val="24"/>
          <w:szCs w:val="24"/>
        </w:rPr>
        <w:t xml:space="preserve">The rule isomorphism criterion implies that valid knowledge of a domain is knowledge of its rules, not knowledge of its appearances. A person who can author a valid simulation of a domain — who can write the rules that, when executed, produce outputs the domain would recognize as correct — has demonstrated genuine domain knowledge. This is closer to what Aristotle meant by episteme: knowledge of causes, not merely knowledge of effects.</w:t>
      </w:r>
    </w:p>
    <w:p>
      <w:pPr>
        <w:spacing w:before="120" w:after="160"/>
      </w:pPr>
      <w:r>
        <w:rPr>
          <w:rFonts w:ascii="Georgia" w:cs="Georgia" w:eastAsia="Georgia" w:hAnsi="Georgia"/>
          <w:b/>
          <w:bCs/>
          <w:color w:val="060A0D"/>
          <w:sz w:val="24"/>
          <w:szCs w:val="24"/>
        </w:rPr>
        <w:t xml:space="preserve">For the simulation hypothesis. </w:t>
      </w:r>
      <w:r>
        <w:rPr>
          <w:rFonts w:ascii="Georgia" w:cs="Georgia" w:eastAsia="Georgia" w:hAnsi="Georgia"/>
          <w:color w:val="1F2937"/>
          <w:sz w:val="24"/>
          <w:szCs w:val="24"/>
        </w:rPr>
        <w:t xml:space="preserve">If authored behavioral governance is the defining property of a simulation, then the simulation hypothesis should be asked differently: not "is physical reality computed?" but "is physical reality governed?" And the answer — which physics has been answering affirmatively for four centuries — is yes.</w:t>
      </w:r>
    </w:p>
    <w:p>
      <w:pPr>
        <w:spacing w:before="240" w:after="0"/>
      </w:pPr>
      <w:r>
        <w:t xml:space="preserve"/>
      </w:r>
    </w:p>
    <w:p>
      <w:pPr>
        <w:pBdr>
          <w:bottom w:val="single" w:color="2563EB" w:sz="12" w:space="1"/>
        </w:pBdr>
        <w:spacing w:before="0" w:after="240"/>
      </w:pPr>
    </w:p>
    <w:p>
      <w:pPr>
        <w:spacing w:before="240" w:after="0"/>
      </w:pPr>
      <w:r>
        <w:t xml:space="preserve"/>
      </w:r>
    </w:p>
    <w:p>
      <w:pPr>
        <w:spacing w:before="0" w:after="160"/>
      </w:pPr>
      <w:r>
        <w:rPr>
          <w:rFonts w:ascii="Arial" w:cs="Arial" w:eastAsia="Arial" w:hAnsi="Arial"/>
          <w:b/>
          <w:bCs/>
          <w:color w:val="060A0D"/>
          <w:sz w:val="28"/>
          <w:szCs w:val="28"/>
        </w:rPr>
        <w:t xml:space="preserve">Coda: The Invariant</w:t>
      </w:r>
    </w:p>
    <w:p>
      <w:pPr>
        <w:spacing w:before="0" w:after="200"/>
      </w:pPr>
      <w:r>
        <w:rPr>
          <w:rFonts w:ascii="Georgia" w:cs="Georgia" w:eastAsia="Georgia" w:hAnsi="Georgia"/>
          <w:color w:val="1F2937"/>
          <w:sz w:val="24"/>
          <w:szCs w:val="24"/>
        </w:rPr>
        <w:t xml:space="preserve">The essay began with a name and arrives at a principle.</w:t>
      </w:r>
    </w:p>
    <w:p>
      <w:pPr>
        <w:spacing w:before="0" w:after="200"/>
      </w:pPr>
      <w:r>
        <w:rPr>
          <w:rFonts w:ascii="Georgia" w:cs="Georgia" w:eastAsia="Georgia" w:hAnsi="Georgia"/>
          <w:color w:val="1F2937"/>
          <w:sz w:val="24"/>
          <w:szCs w:val="24"/>
        </w:rPr>
        <w:t xml:space="preserve">TMOS13 and 13TMOS. Surface and substrate. Consumer and CLI. Rendered experience and governance layer. Each is a valid orientation toward the same system. Neither is more real than the other. The simulation is both simultaneously — the rules and their instantiation, the governance and its surface, the 13 and its context.</w:t>
      </w:r>
    </w:p>
    <w:p>
      <w:pPr>
        <w:pBdr>
          <w:left w:val="single" w:color="2563EB" w:sz="24" w:space="12"/>
        </w:pBdr>
        <w:spacing w:before="280" w:after="280"/>
        <w:ind w:left="480"/>
      </w:pPr>
      <w:r>
        <w:rPr>
          <w:rFonts w:ascii="Georgia" w:cs="Georgia" w:eastAsia="Georgia" w:hAnsi="Georgia"/>
          <w:i/>
          <w:iCs/>
          <w:color w:val="2563EB"/>
          <w:sz w:val="28"/>
          <w:szCs w:val="28"/>
        </w:rPr>
        <w:t xml:space="preserve">What persists across the inversion is the governance. The protocols. The rules that define what the simulation is, regardless of the rendering. The invariant is not the appearance, not the execution substrate, not the user experience. The invariant is the authored rule structure that makes all of those possible.</w:t>
      </w:r>
    </w:p>
    <w:p>
      <w:pPr>
        <w:spacing w:before="0" w:after="200"/>
      </w:pPr>
      <w:r>
        <w:rPr>
          <w:rFonts w:ascii="Georgia" w:cs="Georgia" w:eastAsia="Georgia" w:hAnsi="Georgia"/>
          <w:color w:val="1F2937"/>
          <w:sz w:val="24"/>
          <w:szCs w:val="24"/>
        </w:rPr>
        <w:t xml:space="preserve">This is what the name has always meant. It took a library of packs across dozens of domains to see it clearly.</w:t>
      </w:r>
    </w:p>
    <w:p>
      <w:pPr>
        <w:spacing w:before="240" w:after="0"/>
      </w:pPr>
      <w:r>
        <w:t xml:space="preserve"/>
      </w:r>
    </w:p>
    <w:p>
      <w:pPr>
        <w:pBdr>
          <w:bottom w:val="single" w:color="E5E7EB" w:sz="4" w:space="1"/>
        </w:pBdr>
        <w:spacing w:before="0" w:after="240"/>
      </w:pPr>
    </w:p>
    <w:p>
      <w:pPr>
        <w:spacing w:before="160" w:after="0"/>
      </w:pPr>
      <w:r>
        <w:t xml:space="preserve"/>
      </w:r>
    </w:p>
    <w:p>
      <w:pPr>
        <w:jc w:val="center"/>
      </w:pPr>
      <w:r>
        <w:rPr>
          <w:rFonts w:ascii="Arial" w:cs="Arial" w:eastAsia="Arial" w:hAnsi="Arial"/>
          <w:color w:val="9CA3AF"/>
          <w:sz w:val="18"/>
          <w:szCs w:val="18"/>
        </w:rPr>
        <w:t xml:space="preserve">TMOS13, LLC  ·  Jersey City, NJ  ·  March 2026  ·  Draft 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0"/>
    </w:pPr>
    <w:r>
      <w:rPr>
        <w:rFonts w:ascii="Arial" w:cs="Arial" w:eastAsia="Arial" w:hAnsi="Arial"/>
        <w:color w:val="9CA3AF"/>
        <w:sz w:val="18"/>
        <w:szCs w:val="18"/>
      </w:rPr>
      <w:t xml:space="preserve">Robert C. Ventura  ·  TMOS13, LLC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spacing w:after="0"/>
    </w:pPr>
    <w:r>
      <w:rPr>
        <w:rFonts w:ascii="Arial" w:cs="Arial" w:eastAsia="Arial" w:hAnsi="Arial"/>
        <w:b/>
        <w:bCs/>
        <w:color w:val="2563EB"/>
        <w:sz w:val="18"/>
        <w:szCs w:val="18"/>
      </w:rPr>
      <w:t xml:space="preserve">TMOS13</w:t>
    </w:r>
    <w:r>
      <w:rPr>
        <w:rFonts w:ascii="Arial" w:cs="Arial" w:eastAsia="Arial" w:hAnsi="Arial"/>
        <w:color w:val="9CA3AF"/>
        <w:sz w:val="18"/>
        <w:szCs w:val="18"/>
      </w:rPr>
      <w:t xml:space="preserve">  ·  INTERNAL WORKING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60A0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060A0D"/>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2026-03-15T22:36:25.826Z</dcterms:created>
  <dcterms:modified xsi:type="dcterms:W3CDTF">2026-03-15T22:36:25.827Z</dcterms:modified>
</cp:coreProperties>
</file>

<file path=docProps/custom.xml><?xml version="1.0" encoding="utf-8"?>
<Properties xmlns="http://schemas.openxmlformats.org/officeDocument/2006/custom-properties" xmlns:vt="http://schemas.openxmlformats.org/officeDocument/2006/docPropsVTypes"/>
</file>