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pPr>
      <w:r>
        <w:rPr>
          <w:rFonts w:ascii="Arial" w:cs="Arial" w:eastAsia="Arial" w:hAnsi="Arial"/>
          <w:b/>
          <w:bCs/>
          <w:color w:val="2563EB"/>
          <w:spacing w:val="20"/>
          <w:sz w:val="52"/>
          <w:szCs w:val="52"/>
        </w:rPr>
        <w:t xml:space="preserve">TMOS13</w:t>
      </w:r>
    </w:p>
    <w:p>
      <w:pPr>
        <w:spacing w:before="0" w:after="480"/>
      </w:pPr>
      <w:r>
        <w:rPr>
          <w:rFonts w:ascii="Arial" w:cs="Arial" w:eastAsia="Arial" w:hAnsi="Arial"/>
          <w:color w:val="9CA3AF"/>
          <w:sz w:val="20"/>
          <w:szCs w:val="20"/>
        </w:rPr>
        <w:t xml:space="preserve">Mathematical Working Paper — March 2026</w:t>
      </w:r>
    </w:p>
    <w:p>
      <w:pPr>
        <w:pBdr>
          <w:bottom w:val="single" w:color="2563EB" w:sz="12" w:space="1"/>
        </w:pBdr>
        <w:spacing w:before="0" w:after="240"/>
      </w:pPr>
    </w:p>
    <w:p>
      <w:pPr>
        <w:spacing w:before="240" w:after="60"/>
      </w:pPr>
      <w:r>
        <w:rPr>
          <w:rFonts w:ascii="Arial" w:cs="Arial" w:eastAsia="Arial" w:hAnsi="Arial"/>
          <w:b/>
          <w:bCs/>
          <w:color w:val="060A0D"/>
          <w:sz w:val="48"/>
          <w:szCs w:val="48"/>
        </w:rPr>
        <w:t xml:space="preserve">The Invariant Layer:</w:t>
      </w:r>
    </w:p>
    <w:p>
      <w:pPr>
        <w:spacing w:before="0" w:after="80"/>
      </w:pPr>
      <w:r>
        <w:rPr>
          <w:rFonts w:ascii="Arial" w:cs="Arial" w:eastAsia="Arial" w:hAnsi="Arial"/>
          <w:b/>
          <w:bCs/>
          <w:color w:val="060A0D"/>
          <w:sz w:val="40"/>
          <w:szCs w:val="40"/>
        </w:rPr>
        <w:t xml:space="preserve">A Formal Simulation Ontology</w:t>
      </w:r>
    </w:p>
    <w:p>
      <w:pPr>
        <w:spacing w:before="0" w:after="480"/>
      </w:pPr>
      <w:r>
        <w:rPr>
          <w:rFonts w:ascii="Georgia" w:cs="Georgia" w:eastAsia="Georgia" w:hAnsi="Georgia"/>
          <w:i/>
          <w:iCs/>
          <w:color w:val="4B5563"/>
          <w:sz w:val="24"/>
          <w:szCs w:val="24"/>
        </w:rPr>
        <w:t xml:space="preserve">Companion to: "The Invariant Layer: A Simulation Ontology" (March 2026)</w:t>
      </w:r>
    </w:p>
    <w:p>
      <w:pPr>
        <w:pBdr>
          <w:bottom w:val="single" w:color="E5E7EB" w:sz="4" w:space="1"/>
        </w:pBdr>
        <w:spacing w:before="0" w:after="240"/>
      </w:pPr>
    </w:p>
    <w:p>
      <w:pPr>
        <w:spacing w:before="240" w:after="0"/>
      </w:pPr>
      <w:r>
        <w:t xml:space="preserve"/>
      </w:r>
    </w:p>
    <w:p>
      <w:pPr>
        <w:spacing w:before="0" w:after="60"/>
      </w:pPr>
      <w:r>
        <w:rPr>
          <w:rFonts w:ascii="Arial" w:cs="Arial" w:eastAsia="Arial" w:hAnsi="Arial"/>
          <w:b/>
          <w:bCs/>
          <w:color w:val="060A0D"/>
          <w:sz w:val="22"/>
          <w:szCs w:val="22"/>
        </w:rPr>
        <w:t xml:space="preserve">Robert C. Ventura</w:t>
      </w:r>
    </w:p>
    <w:p>
      <w:pPr>
        <w:spacing w:before="0" w:after="480"/>
      </w:pPr>
      <w:r>
        <w:rPr>
          <w:rFonts w:ascii="Arial" w:cs="Arial" w:eastAsia="Arial" w:hAnsi="Arial"/>
          <w:color w:val="4B5563"/>
          <w:sz w:val="20"/>
          <w:szCs w:val="20"/>
        </w:rPr>
        <w:t xml:space="preserve">Founder &amp; CEO, TMOS13, LLC  ·  tmos13.ai  ·  rob@tmos13.ai</w:t>
      </w:r>
    </w:p>
    <w:p>
      <w:pPr>
        <w:pBdr>
          <w:bottom w:val="single" w:color="2563EB" w:sz="8" w:space="1"/>
        </w:pBdr>
        <w:spacing w:before="0" w:after="240"/>
      </w:pPr>
    </w:p>
    <w:p>
      <w:pPr>
        <w:spacing w:before="480" w:after="0"/>
      </w:pPr>
      <w:r>
        <w:t xml:space="preserve"/>
      </w:r>
    </w:p>
    <w:p>
      <w:pPr>
        <w:spacing w:before="0" w:after="80"/>
      </w:pPr>
      <w:r>
        <w:rPr>
          <w:rFonts w:ascii="Arial" w:cs="Arial" w:eastAsia="Arial" w:hAnsi="Arial"/>
          <w:b/>
          <w:bCs/>
          <w:color w:val="9CA3AF"/>
          <w:spacing w:val="40"/>
          <w:sz w:val="18"/>
          <w:szCs w:val="18"/>
        </w:rPr>
        <w:t xml:space="preserve">§0 — NOTATION AND PRIMITIVES</w:t>
      </w:r>
    </w:p>
    <w:p>
      <w:pPr>
        <w:pBdr>
          <w:bottom w:val="single" w:color="E5E7EB" w:sz="4" w:space="1"/>
        </w:pBdr>
        <w:spacing w:before="0" w:after="240"/>
      </w:pPr>
    </w:p>
    <w:p>
      <w:pPr>
        <w:spacing w:before="80" w:after="0"/>
      </w:pPr>
      <w:r>
        <w:t xml:space="preserve"/>
      </w:r>
    </w:p>
    <w:p>
      <w:pPr>
        <w:spacing w:before="0" w:after="200"/>
      </w:pPr>
      <w:r>
        <w:rPr>
          <w:rFonts w:ascii="Georgia" w:cs="Georgia" w:eastAsia="Georgia" w:hAnsi="Georgia"/>
          <w:color w:val="1F2937"/>
          <w:sz w:val="24"/>
          <w:szCs w:val="24"/>
        </w:rPr>
        <w:t xml:space="preserve">The following notation is used throughout. All sets are assumed non-empty. All functions are assumed total unless otherwise noted.</w:t>
      </w:r>
    </w:p>
    <w:p>
      <w:pPr>
        <w:spacing w:before="80" w:after="0"/>
      </w:pPr>
      <w:r>
        <w:t xml:space="preserve"/>
      </w:r>
    </w:p>
    <w:p>
      <w:pPr>
        <w:spacing w:before="80" w:after="60"/>
        <w:ind w:left="360"/>
      </w:pPr>
      <w:r>
        <w:rPr>
          <w:rFonts w:ascii="Georgia" w:cs="Georgia" w:eastAsia="Georgia" w:hAnsi="Georgia"/>
          <w:b/>
          <w:bCs/>
          <w:color w:val="060A0D"/>
          <w:sz w:val="24"/>
          <w:szCs w:val="24"/>
        </w:rPr>
        <w:t xml:space="preserve">𝒟</w:t>
      </w:r>
      <w:r>
        <w:rPr>
          <w:rFonts w:ascii="Georgia" w:cs="Georgia" w:eastAsia="Georgia" w:hAnsi="Georgia"/>
          <w:color w:val="4B5563"/>
          <w:sz w:val="24"/>
          <w:szCs w:val="24"/>
        </w:rPr>
        <w:t xml:space="preserve">  A domain (the reference system being simulated)</w:t>
      </w:r>
    </w:p>
    <w:p>
      <w:pPr>
        <w:spacing w:before="60" w:after="60"/>
        <w:ind w:left="360"/>
      </w:pPr>
      <w:r>
        <w:rPr>
          <w:rFonts w:ascii="Georgia" w:cs="Georgia" w:eastAsia="Georgia" w:hAnsi="Georgia"/>
          <w:b/>
          <w:bCs/>
          <w:color w:val="060A0D"/>
          <w:sz w:val="24"/>
          <w:szCs w:val="24"/>
        </w:rPr>
        <w:t xml:space="preserve">𝒮</w:t>
      </w:r>
      <w:r>
        <w:rPr>
          <w:rFonts w:ascii="Georgia" w:cs="Georgia" w:eastAsia="Georgia" w:hAnsi="Georgia"/>
          <w:color w:val="4B5563"/>
          <w:sz w:val="24"/>
          <w:szCs w:val="24"/>
        </w:rPr>
        <w:t xml:space="preserve">  A simulation</w:t>
      </w:r>
    </w:p>
    <w:p>
      <w:pPr>
        <w:spacing w:before="60" w:after="60"/>
        <w:ind w:left="360"/>
      </w:pPr>
      <w:r>
        <w:rPr>
          <w:rFonts w:ascii="Georgia" w:cs="Georgia" w:eastAsia="Georgia" w:hAnsi="Georgia"/>
          <w:b/>
          <w:bCs/>
          <w:color w:val="060A0D"/>
          <w:sz w:val="24"/>
          <w:szCs w:val="24"/>
        </w:rPr>
        <w:t xml:space="preserve">Ω</w:t>
      </w:r>
      <w:r>
        <w:rPr>
          <w:rFonts w:ascii="Georgia" w:cs="Georgia" w:eastAsia="Georgia" w:hAnsi="Georgia"/>
          <w:color w:val="4B5563"/>
          <w:sz w:val="24"/>
          <w:szCs w:val="24"/>
        </w:rPr>
        <w:t xml:space="preserve">  State space</w:t>
      </w:r>
    </w:p>
    <w:p>
      <w:pPr>
        <w:spacing w:before="60" w:after="60"/>
        <w:ind w:left="360"/>
      </w:pPr>
      <w:r>
        <w:rPr>
          <w:rFonts w:ascii="Georgia" w:cs="Georgia" w:eastAsia="Georgia" w:hAnsi="Georgia"/>
          <w:b/>
          <w:bCs/>
          <w:color w:val="060A0D"/>
          <w:sz w:val="24"/>
          <w:szCs w:val="24"/>
        </w:rPr>
        <w:t xml:space="preserve">ℛ</w:t>
      </w:r>
      <w:r>
        <w:rPr>
          <w:rFonts w:ascii="Georgia" w:cs="Georgia" w:eastAsia="Georgia" w:hAnsi="Georgia"/>
          <w:color w:val="4B5563"/>
          <w:sz w:val="24"/>
          <w:szCs w:val="24"/>
        </w:rPr>
        <w:t xml:space="preserve">  Rule structure (transition function)</w:t>
      </w:r>
    </w:p>
    <w:p>
      <w:pPr>
        <w:spacing w:before="60" w:after="60"/>
        <w:ind w:left="360"/>
      </w:pPr>
      <w:r>
        <w:rPr>
          <w:rFonts w:ascii="Georgia" w:cs="Georgia" w:eastAsia="Georgia" w:hAnsi="Georgia"/>
          <w:b/>
          <w:bCs/>
          <w:color w:val="060A0D"/>
          <w:sz w:val="24"/>
          <w:szCs w:val="24"/>
        </w:rPr>
        <w:t xml:space="preserve">Σ</w:t>
      </w:r>
      <w:r>
        <w:rPr>
          <w:rFonts w:ascii="Georgia" w:cs="Georgia" w:eastAsia="Georgia" w:hAnsi="Georgia"/>
          <w:color w:val="4B5563"/>
          <w:sz w:val="24"/>
          <w:szCs w:val="24"/>
        </w:rPr>
        <w:t xml:space="preserve">  Set of valid terminal states</w:t>
      </w:r>
    </w:p>
    <w:p>
      <w:pPr>
        <w:spacing w:before="60" w:after="60"/>
        <w:ind w:left="360"/>
      </w:pPr>
      <w:r>
        <w:rPr>
          <w:rFonts w:ascii="Georgia" w:cs="Georgia" w:eastAsia="Georgia" w:hAnsi="Georgia"/>
          <w:b/>
          <w:bCs/>
          <w:color w:val="060A0D"/>
          <w:sz w:val="24"/>
          <w:szCs w:val="24"/>
        </w:rPr>
        <w:t xml:space="preserve">φ</w:t>
      </w:r>
      <w:r>
        <w:rPr>
          <w:rFonts w:ascii="Georgia" w:cs="Georgia" w:eastAsia="Georgia" w:hAnsi="Georgia"/>
          <w:color w:val="4B5563"/>
          <w:sz w:val="24"/>
          <w:szCs w:val="24"/>
        </w:rPr>
        <w:t xml:space="preserve">  Interpretation function (simulation → domain)</w:t>
      </w:r>
    </w:p>
    <w:p>
      <w:pPr>
        <w:spacing w:before="60" w:after="60"/>
        <w:ind w:left="360"/>
      </w:pPr>
      <w:r>
        <w:rPr>
          <w:rFonts w:ascii="Georgia" w:cs="Georgia" w:eastAsia="Georgia" w:hAnsi="Georgia"/>
          <w:b/>
          <w:bCs/>
          <w:color w:val="060A0D"/>
          <w:sz w:val="24"/>
          <w:szCs w:val="24"/>
        </w:rPr>
        <w:t xml:space="preserve">Δ</w:t>
      </w:r>
      <w:r>
        <w:rPr>
          <w:rFonts w:ascii="Georgia" w:cs="Georgia" w:eastAsia="Georgia" w:hAnsi="Georgia"/>
          <w:color w:val="4B5563"/>
          <w:sz w:val="24"/>
          <w:szCs w:val="24"/>
        </w:rPr>
        <w:t xml:space="preserve">  Dimension set (subset of domain dimensions that matter)</w:t>
      </w:r>
    </w:p>
    <w:p>
      <w:pPr>
        <w:spacing w:before="60" w:after="60"/>
        <w:ind w:left="360"/>
      </w:pPr>
      <w:r>
        <w:rPr>
          <w:rFonts w:ascii="Georgia" w:cs="Georgia" w:eastAsia="Georgia" w:hAnsi="Georgia"/>
          <w:b/>
          <w:bCs/>
          <w:color w:val="060A0D"/>
          <w:sz w:val="24"/>
          <w:szCs w:val="24"/>
        </w:rPr>
        <w:t xml:space="preserve">𝒢</w:t>
      </w:r>
      <w:r>
        <w:rPr>
          <w:rFonts w:ascii="Georgia" w:cs="Georgia" w:eastAsia="Georgia" w:hAnsi="Georgia"/>
          <w:color w:val="4B5563"/>
          <w:sz w:val="24"/>
          <w:szCs w:val="24"/>
        </w:rPr>
        <w:t xml:space="preserve">  Governance layer (the invariant)</w:t>
      </w:r>
    </w:p>
    <w:p>
      <w:pPr>
        <w:spacing w:before="60" w:after="60"/>
        <w:ind w:left="360"/>
      </w:pPr>
      <w:r>
        <w:rPr>
          <w:rFonts w:ascii="Georgia" w:cs="Georgia" w:eastAsia="Georgia" w:hAnsi="Georgia"/>
          <w:b/>
          <w:bCs/>
          <w:color w:val="060A0D"/>
          <w:sz w:val="24"/>
          <w:szCs w:val="24"/>
        </w:rPr>
        <w:t xml:space="preserve">ℐ</w:t>
      </w:r>
      <w:r>
        <w:rPr>
          <w:rFonts w:ascii="Georgia" w:cs="Georgia" w:eastAsia="Georgia" w:hAnsi="Georgia"/>
          <w:color w:val="4B5563"/>
          <w:sz w:val="24"/>
          <w:szCs w:val="24"/>
        </w:rPr>
        <w:t xml:space="preserve">  Inversion operator</w:t>
      </w:r>
    </w:p>
    <w:p>
      <w:pPr>
        <w:spacing w:before="60" w:after="60"/>
        <w:ind w:left="360"/>
      </w:pPr>
      <w:r>
        <w:rPr>
          <w:rFonts w:ascii="Georgia" w:cs="Georgia" w:eastAsia="Georgia" w:hAnsi="Georgia"/>
          <w:b/>
          <w:bCs/>
          <w:color w:val="060A0D"/>
          <w:sz w:val="24"/>
          <w:szCs w:val="24"/>
        </w:rPr>
        <w:t xml:space="preserve">κ</w:t>
      </w:r>
      <w:r>
        <w:rPr>
          <w:rFonts w:ascii="Georgia" w:cs="Georgia" w:eastAsia="Georgia" w:hAnsi="Georgia"/>
          <w:color w:val="4B5563"/>
          <w:sz w:val="24"/>
          <w:szCs w:val="24"/>
        </w:rPr>
        <w:t xml:space="preserve">  Consequence function  κ : Output(𝒮) → [0, 1]</w:t>
      </w:r>
    </w:p>
    <w:p>
      <w:pPr>
        <w:spacing w:before="60" w:after="80"/>
        <w:ind w:left="360"/>
      </w:pPr>
      <w:r>
        <w:rPr>
          <w:rFonts w:ascii="Georgia" w:cs="Georgia" w:eastAsia="Georgia" w:hAnsi="Georgia"/>
          <w:b/>
          <w:bCs/>
          <w:color w:val="060A0D"/>
          <w:sz w:val="24"/>
          <w:szCs w:val="24"/>
        </w:rPr>
        <w:t xml:space="preserve">𝐟</w:t>
      </w:r>
      <w:r>
        <w:rPr>
          <w:rFonts w:ascii="Georgia" w:cs="Georgia" w:eastAsia="Georgia" w:hAnsi="Georgia"/>
          <w:color w:val="4B5563"/>
          <w:sz w:val="24"/>
          <w:szCs w:val="24"/>
        </w:rPr>
        <w:t xml:space="preserve">  Fidelity vector  𝐟 ∈ [0, 1]³</w:t>
      </w:r>
    </w:p>
    <w:p>
      <w:pPr>
        <w:spacing w:before="240" w:after="0"/>
      </w:pPr>
      <w:r>
        <w:t xml:space="preserve"/>
      </w:r>
    </w:p>
    <w:p>
      <w:pPr>
        <w:pBdr>
          <w:bottom w:val="single" w:color="2563EB" w:sz="8" w:space="1"/>
        </w:pBdr>
        <w:spacing w:before="0" w:after="240"/>
      </w:pPr>
    </w:p>
    <w:p>
      <w:pPr>
        <w:spacing w:before="240" w:after="0"/>
      </w:pPr>
      <w:r>
        <w:t xml:space="preserve"/>
      </w:r>
    </w:p>
    <w:p>
      <w:pPr>
        <w:pStyle w:val="Heading1"/>
        <w:spacing w:before="480" w:after="120"/>
      </w:pPr>
      <w:r>
        <w:rPr>
          <w:rFonts w:ascii="Arial" w:cs="Arial" w:eastAsia="Arial" w:hAnsi="Arial"/>
          <w:b/>
          <w:bCs/>
          <w:color w:val="060A0D"/>
          <w:sz w:val="36"/>
          <w:szCs w:val="36"/>
        </w:rPr>
        <w:t xml:space="preserve">§1  Domain Theory</w:t>
      </w:r>
    </w:p>
    <w:p>
      <w:pPr>
        <w:spacing w:before="0" w:after="200"/>
      </w:pPr>
      <w:r>
        <w:rPr>
          <w:rFonts w:ascii="Georgia" w:cs="Georgia" w:eastAsia="Georgia" w:hAnsi="Georgia"/>
          <w:color w:val="1F2937"/>
          <w:sz w:val="24"/>
          <w:szCs w:val="24"/>
        </w:rPr>
        <w:t xml:space="preserve">A domain is a formal system with a state space, a rule-governed transition function, and a set of recognized terminal states. Domains are the reference objects against which simulations are measured.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5E7EB" w:sz="1"/>
              <w:left w:val="single" w:color="E5E7EB" w:sz="1"/>
              <w:bottom w:val="single" w:color="E5E7EB" w:sz="1"/>
              <w:right w:val="single" w:color="E5E7EB" w:sz="1"/>
            </w:tcBorders>
            <w:shd w:fill="1E293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DEF 1</w:t>
            </w:r>
          </w:p>
        </w:tc>
        <w:tc>
          <w:tcPr>
            <w:tcW w:type="dxa" w:w="8880"/>
            <w:tcBorders>
              <w:top w:val="single" w:color="E5E7EB" w:sz="1"/>
              <w:left w:val="single" w:color="E5E7EB" w:sz="1"/>
              <w:bottom w:val="single" w:color="E5E7EB" w:sz="1"/>
              <w:right w:val="single" w:color="E5E7EB" w:sz="1"/>
            </w:tcBorders>
            <w:shd w:fill="F8FAFC" w:val="clear"/>
            <w:tcMar>
              <w:top w:type="dxa" w:w="160"/>
              <w:left w:type="dxa" w:w="240"/>
              <w:bottom w:type="dxa" w:w="160"/>
              <w:right w:type="dxa" w:w="160"/>
            </w:tcMar>
          </w:tcPr>
          <w:p>
            <w:r>
              <w:rPr>
                <w:rFonts w:ascii="Georgia" w:cs="Georgia" w:eastAsia="Georgia" w:hAnsi="Georgia"/>
                <w:color w:val="060A0D"/>
                <w:sz w:val="22"/>
                <w:szCs w:val="22"/>
              </w:rPr>
              <w:t xml:space="preserve">Domain. A domain 𝒟 is a triple (Ω_𝒟, ℛ_𝒟, Σ_𝒟) where:
  Ω_𝒟  is the state space of 𝒟
  ℛ_𝒟 : Ω_𝒟 × ℐnput → Ω_𝒟  is the transition function
  Σ_𝒟 ⊆ Ω_𝒟  is the set of valid terminal states</w:t>
            </w:r>
          </w:p>
        </w:tc>
      </w:tr>
    </w:tbl>
    <w:p>
      <w:pPr>
        <w:spacing w:before="80" w:after="80"/>
      </w:pPr>
      <w:r>
        <w:t xml:space="preserve"/>
      </w:r>
    </w:p>
    <w:p>
      <w:pPr>
        <w:spacing w:before="0" w:after="200"/>
      </w:pPr>
      <w:r>
        <w:rPr>
          <w:rFonts w:ascii="Georgia" w:cs="Georgia" w:eastAsia="Georgia" w:hAnsi="Georgia"/>
          <w:color w:val="1F2937"/>
          <w:sz w:val="24"/>
          <w:szCs w:val="24"/>
        </w:rPr>
        <w:t xml:space="preserve">The transition function ℛ_𝒟 encodes all rules of the domain. For a legal intake domain, ℛ_𝒟 encodes the decision rules a competent attorney applies: when to escalate, what constitutes conflict, what fields are required for a valid case opening. For chess, ℛ_𝒟 is the legal move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5E7EB" w:sz="1"/>
              <w:left w:val="single" w:color="E5E7EB" w:sz="1"/>
              <w:bottom w:val="single" w:color="E5E7EB" w:sz="1"/>
              <w:right w:val="single" w:color="E5E7EB" w:sz="1"/>
            </w:tcBorders>
            <w:shd w:fill="1E293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DEF 2</w:t>
            </w:r>
          </w:p>
        </w:tc>
        <w:tc>
          <w:tcPr>
            <w:tcW w:type="dxa" w:w="8880"/>
            <w:tcBorders>
              <w:top w:val="single" w:color="E5E7EB" w:sz="1"/>
              <w:left w:val="single" w:color="E5E7EB" w:sz="1"/>
              <w:bottom w:val="single" w:color="E5E7EB" w:sz="1"/>
              <w:right w:val="single" w:color="E5E7EB" w:sz="1"/>
            </w:tcBorders>
            <w:shd w:fill="F8FAFC" w:val="clear"/>
            <w:tcMar>
              <w:top w:type="dxa" w:w="160"/>
              <w:left w:type="dxa" w:w="240"/>
              <w:bottom w:type="dxa" w:w="160"/>
              <w:right w:type="dxa" w:w="160"/>
            </w:tcMar>
          </w:tcPr>
          <w:p>
            <w:r>
              <w:rPr>
                <w:rFonts w:ascii="Georgia" w:cs="Georgia" w:eastAsia="Georgia" w:hAnsi="Georgia"/>
                <w:color w:val="060A0D"/>
                <w:sz w:val="22"/>
                <w:szCs w:val="22"/>
              </w:rPr>
              <w:t xml:space="preserve">Domain Dimension. A dimension δ ∈ Dims(𝒟) is any axis along which 𝒟 distinguishes states. Dims(𝒟) is the full set of dimensions of 𝒟. A dimension subset Δ ⊆ Dims(𝒟) is the set of dimensions relevant to a given evaluation.</w:t>
            </w:r>
          </w:p>
        </w:tc>
      </w:tr>
    </w:tbl>
    <w:p>
      <w:pPr>
        <w:spacing w:before="80" w:after="80"/>
      </w:pPr>
      <w:r>
        <w:t xml:space="preserve"/>
      </w:r>
    </w:p>
    <w:p>
      <w:pPr>
        <w:spacing w:before="0" w:after="200"/>
      </w:pPr>
      <w:r>
        <w:rPr>
          <w:rFonts w:ascii="Georgia" w:cs="Georgia" w:eastAsia="Georgia" w:hAnsi="Georgia"/>
          <w:color w:val="1F2937"/>
          <w:sz w:val="24"/>
          <w:szCs w:val="24"/>
        </w:rPr>
        <w:t xml:space="preserve">Not all dimensions are equally relevant to all evaluations. The tactile dimension of a chess domain (the feel of the pieces) is not relevant to the chess-validity evaluation. The legal-move dimension is. The choice of Δ is a governance decision, not a mathematical one.</w:t>
      </w:r>
    </w:p>
    <w:p>
      <w:pPr>
        <w:pStyle w:val="Heading1"/>
        <w:spacing w:before="480" w:after="120"/>
      </w:pPr>
      <w:r>
        <w:rPr>
          <w:rFonts w:ascii="Arial" w:cs="Arial" w:eastAsia="Arial" w:hAnsi="Arial"/>
          <w:b/>
          <w:bCs/>
          <w:color w:val="060A0D"/>
          <w:sz w:val="36"/>
          <w:szCs w:val="36"/>
        </w:rPr>
        <w:t xml:space="preserve">§2  Simulation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5E7EB" w:sz="1"/>
              <w:left w:val="single" w:color="E5E7EB" w:sz="1"/>
              <w:bottom w:val="single" w:color="E5E7EB" w:sz="1"/>
              <w:right w:val="single" w:color="E5E7EB" w:sz="1"/>
            </w:tcBorders>
            <w:shd w:fill="1E293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DEF 3</w:t>
            </w:r>
          </w:p>
        </w:tc>
        <w:tc>
          <w:tcPr>
            <w:tcW w:type="dxa" w:w="8880"/>
            <w:tcBorders>
              <w:top w:val="single" w:color="E5E7EB" w:sz="1"/>
              <w:left w:val="single" w:color="E5E7EB" w:sz="1"/>
              <w:bottom w:val="single" w:color="E5E7EB" w:sz="1"/>
              <w:right w:val="single" w:color="E5E7EB" w:sz="1"/>
            </w:tcBorders>
            <w:shd w:fill="F8FAFC" w:val="clear"/>
            <w:tcMar>
              <w:top w:type="dxa" w:w="160"/>
              <w:left w:type="dxa" w:w="240"/>
              <w:bottom w:type="dxa" w:w="160"/>
              <w:right w:type="dxa" w:w="160"/>
            </w:tcMar>
          </w:tcPr>
          <w:p>
            <w:r>
              <w:rPr>
                <w:rFonts w:ascii="Georgia" w:cs="Georgia" w:eastAsia="Georgia" w:hAnsi="Georgia"/>
                <w:color w:val="060A0D"/>
                <w:sz w:val="22"/>
                <w:szCs w:val="22"/>
              </w:rPr>
              <w:t xml:space="preserve">Simulation. A simulation 𝒮 of domain 𝒟 is a 4-tuple (Ω_𝒮, ℛ_𝒮, Σ_𝒮, φ) where:
  (Ω_𝒮, ℛ_𝒮, Σ_𝒮)  is a formal system
  φ : Ω_𝒮 → Ω_𝒟  is the interpretation function
such that φ(Σ_𝒮) ⊆ Σ_𝒟 (valid terminal states map to valid terminal states)</w:t>
            </w:r>
          </w:p>
        </w:tc>
      </w:tr>
    </w:tbl>
    <w:p>
      <w:pPr>
        <w:spacing w:before="80" w:after="80"/>
      </w:pPr>
      <w:r>
        <w:t xml:space="preserve"/>
      </w:r>
    </w:p>
    <w:p>
      <w:pPr>
        <w:spacing w:before="0" w:after="200"/>
      </w:pPr>
      <w:r>
        <w:rPr>
          <w:rFonts w:ascii="Georgia" w:cs="Georgia" w:eastAsia="Georgia" w:hAnsi="Georgia"/>
          <w:color w:val="1F2937"/>
          <w:sz w:val="24"/>
          <w:szCs w:val="24"/>
        </w:rPr>
        <w:t xml:space="preserve">The interpretation function φ is the bridge between the simulation and its domain. It need not be injective — multiple simulation states may correspond to the same domain state. It need not be surjective — the simulation need not cover the full state space of the domain. It must be structure-preserving in the dimensions that matter.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5E7EB" w:sz="1"/>
              <w:left w:val="single" w:color="E5E7EB" w:sz="1"/>
              <w:bottom w:val="single" w:color="E5E7EB" w:sz="1"/>
              <w:right w:val="single" w:color="E5E7EB" w:sz="1"/>
            </w:tcBorders>
            <w:shd w:fill="1E293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DEF 4</w:t>
            </w:r>
          </w:p>
        </w:tc>
        <w:tc>
          <w:tcPr>
            <w:tcW w:type="dxa" w:w="8880"/>
            <w:tcBorders>
              <w:top w:val="single" w:color="E5E7EB" w:sz="1"/>
              <w:left w:val="single" w:color="E5E7EB" w:sz="1"/>
              <w:bottom w:val="single" w:color="E5E7EB" w:sz="1"/>
              <w:right w:val="single" w:color="E5E7EB" w:sz="1"/>
            </w:tcBorders>
            <w:shd w:fill="F8FAFC" w:val="clear"/>
            <w:tcMar>
              <w:top w:type="dxa" w:w="160"/>
              <w:left w:type="dxa" w:w="240"/>
              <w:bottom w:type="dxa" w:w="160"/>
              <w:right w:type="dxa" w:w="160"/>
            </w:tcMar>
          </w:tcPr>
          <w:p>
            <w:r>
              <w:rPr>
                <w:rFonts w:ascii="Georgia" w:cs="Georgia" w:eastAsia="Georgia" w:hAnsi="Georgia"/>
                <w:color w:val="060A0D"/>
                <w:sz w:val="22"/>
                <w:szCs w:val="22"/>
              </w:rPr>
              <w:t xml:space="preserve">Rule Isomorphism. 𝒮 is rule-isomorphic to 𝒟 along Δ, written 𝒮 ≅_Δ 𝒟, iff for all ω ∈ Ω_𝒮 and all inputs i:
  φ(ℛ_𝒮(ω, i))|_Δ  =  ℛ_𝒟(φ(ω), i)|_Δ
where |_Δ denotes restriction to dimensions Δ.</w:t>
            </w:r>
          </w:p>
        </w:tc>
      </w:tr>
    </w:tbl>
    <w:p>
      <w:pPr>
        <w:spacing w:before="80" w:after="80"/>
      </w:pPr>
      <w:r>
        <w:t xml:space="preserve"/>
      </w:r>
    </w:p>
    <w:p>
      <w:pPr>
        <w:spacing w:before="0" w:after="200"/>
      </w:pPr>
      <w:r>
        <w:rPr>
          <w:rFonts w:ascii="Georgia" w:cs="Georgia" w:eastAsia="Georgia" w:hAnsi="Georgia"/>
          <w:color w:val="1F2937"/>
          <w:sz w:val="24"/>
          <w:szCs w:val="24"/>
        </w:rPr>
        <w:t xml:space="preserve">Rule isomorphism is the central relation of simulation theory. It states that the simulation and the domain evolve identically along the dimensions that matter: if you apply the same input to equivalent states, you get equivalent next states — projected onto the relevant dimensions. This is the mathematical content of the claim that valid simulations are rule-equivalent to their domains, not appearance-equivalent.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DBFE" w:sz="1"/>
              <w:left w:val="single" w:color="BFDBFE" w:sz="1"/>
              <w:bottom w:val="single" w:color="BFDBFE" w:sz="1"/>
              <w:right w:val="single" w:color="BFDBFE" w:sz="1"/>
            </w:tcBorders>
            <w:shd w:fill="2563E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THM 1</w:t>
            </w:r>
          </w:p>
        </w:tc>
        <w:tc>
          <w:tcPr>
            <w:tcW w:type="dxa" w:w="888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160"/>
            </w:tcMar>
          </w:tcPr>
          <w:p>
            <w:r>
              <w:rPr>
                <w:rFonts w:ascii="Georgia" w:cs="Georgia" w:eastAsia="Georgia" w:hAnsi="Georgia"/>
                <w:i/>
                <w:iCs/>
                <w:color w:val="060A0D"/>
                <w:sz w:val="22"/>
                <w:szCs w:val="22"/>
              </w:rPr>
              <w:t xml:space="preserve">Simulation Validity Theorem. A simulation 𝒮 is a valid simulation of domain 𝒟 if and only if there exists a dimension set Δ ⊆ Dims(𝒟) such that 𝒮 ≅_Δ 𝒟 and Δ contains all dimensions constitutive of 𝒟-identity.</w:t>
            </w:r>
          </w:p>
        </w:tc>
      </w:tr>
    </w:tbl>
    <w:p>
      <w:pPr>
        <w:spacing w:before="80" w:after="80"/>
      </w:pPr>
      <w:r>
        <w:t xml:space="preserve"/>
      </w:r>
    </w:p>
    <w:p>
      <w:pPr>
        <w:spacing w:before="0" w:after="200"/>
      </w:pPr>
      <w:r>
        <w:rPr>
          <w:rFonts w:ascii="Georgia" w:cs="Georgia" w:eastAsia="Georgia" w:hAnsi="Georgia"/>
          <w:color w:val="1F2937"/>
          <w:sz w:val="24"/>
          <w:szCs w:val="24"/>
        </w:rPr>
        <w:t xml:space="preserve">Proof sketch: (⇒) If 𝒮 is valid, it produces outputs that 𝒟 recognizes as correct. This recognition is a function of the domain-constitutive dimensions. The outputs must therefore agree with 𝒟 along those dimensions, which is the definition of rule isomorphism along Δ. (⇐) If 𝒮 ≅_Δ 𝒟 along all constitutive dimensions, then for any input sequence, 𝒮 produces a terminal state whose projection onto Δ is identical to the domain's terminal state projection. The domain recognizes this as a valid output. □</w:t>
      </w:r>
    </w:p>
    <w:p>
      <w:pPr>
        <w:pStyle w:val="Heading1"/>
        <w:spacing w:before="480" w:after="120"/>
      </w:pPr>
      <w:r>
        <w:rPr>
          <w:rFonts w:ascii="Arial" w:cs="Arial" w:eastAsia="Arial" w:hAnsi="Arial"/>
          <w:b/>
          <w:bCs/>
          <w:color w:val="060A0D"/>
          <w:sz w:val="36"/>
          <w:szCs w:val="36"/>
        </w:rPr>
        <w:t xml:space="preserve">§3  The Three-Axis Characterization</w:t>
      </w:r>
    </w:p>
    <w:p>
      <w:pPr>
        <w:spacing w:before="0" w:after="200"/>
      </w:pPr>
      <w:r>
        <w:rPr>
          <w:rFonts w:ascii="Georgia" w:cs="Georgia" w:eastAsia="Georgia" w:hAnsi="Georgia"/>
          <w:color w:val="1F2937"/>
          <w:sz w:val="24"/>
          <w:szCs w:val="24"/>
        </w:rPr>
        <w:t xml:space="preserve">Every simulation 𝒮 of domain 𝒟 can be characterized by a point in a three-dimensional product space encoding fidelity, consequence, and governedness.</w:t>
      </w:r>
    </w:p>
    <w:p>
      <w:pPr>
        <w:spacing w:before="80" w:after="0"/>
      </w:pPr>
      <w:r>
        <w:t xml:space="preserve"/>
      </w:r>
    </w:p>
    <w:p>
      <w:pPr>
        <w:pStyle w:val="Heading2"/>
        <w:spacing w:before="360" w:after="120"/>
      </w:pPr>
      <w:r>
        <w:rPr>
          <w:rFonts w:ascii="Arial" w:cs="Arial" w:eastAsia="Arial" w:hAnsi="Arial"/>
          <w:b/>
          <w:bCs/>
          <w:color w:val="2563EB"/>
          <w:sz w:val="26"/>
          <w:szCs w:val="26"/>
        </w:rPr>
        <w:t xml:space="preserve">3.1  The Fidelity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5E7EB" w:sz="1"/>
              <w:left w:val="single" w:color="E5E7EB" w:sz="1"/>
              <w:bottom w:val="single" w:color="E5E7EB" w:sz="1"/>
              <w:right w:val="single" w:color="E5E7EB" w:sz="1"/>
            </w:tcBorders>
            <w:shd w:fill="1E293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DEF 5</w:t>
            </w:r>
          </w:p>
        </w:tc>
        <w:tc>
          <w:tcPr>
            <w:tcW w:type="dxa" w:w="8880"/>
            <w:tcBorders>
              <w:top w:val="single" w:color="E5E7EB" w:sz="1"/>
              <w:left w:val="single" w:color="E5E7EB" w:sz="1"/>
              <w:bottom w:val="single" w:color="E5E7EB" w:sz="1"/>
              <w:right w:val="single" w:color="E5E7EB" w:sz="1"/>
            </w:tcBorders>
            <w:shd w:fill="F8FAFC" w:val="clear"/>
            <w:tcMar>
              <w:top w:type="dxa" w:w="160"/>
              <w:left w:type="dxa" w:w="240"/>
              <w:bottom w:type="dxa" w:w="160"/>
              <w:right w:type="dxa" w:w="160"/>
            </w:tcMar>
          </w:tcPr>
          <w:p>
            <w:r>
              <w:rPr>
                <w:rFonts w:ascii="Georgia" w:cs="Georgia" w:eastAsia="Georgia" w:hAnsi="Georgia"/>
                <w:color w:val="060A0D"/>
                <w:sz w:val="22"/>
                <w:szCs w:val="22"/>
              </w:rPr>
              <w:t xml:space="preserve">Fidelity Vector. The fidelity of 𝒮 with respect to 𝒟 is a vector:
  𝐟(𝒮, 𝒟)  =  (f_r, f_b, f_s)  ∈  [0, 1]³
where:
  f_r  =  representational fidelity (appearance similarity measure)
  f_b  =  behavioral fidelity (degree of rule isomorphism)
  f_s  =  structural fidelity (|φ(Ω_𝒮)| / |Ω_𝒟|, state space coverage)</w:t>
            </w:r>
          </w:p>
        </w:tc>
      </w:tr>
    </w:tbl>
    <w:p>
      <w:pPr>
        <w:spacing w:before="80" w:after="80"/>
      </w:pPr>
      <w:r>
        <w:t xml:space="preserve"/>
      </w:r>
    </w:p>
    <w:p>
      <w:pPr>
        <w:spacing w:before="0" w:after="200"/>
      </w:pPr>
      <w:r>
        <w:rPr>
          <w:rFonts w:ascii="Georgia" w:cs="Georgia" w:eastAsia="Georgia" w:hAnsi="Georgia"/>
          <w:color w:val="1F2937"/>
          <w:sz w:val="24"/>
          <w:szCs w:val="24"/>
        </w:rPr>
        <w:t xml:space="preserve">Formally, behavioral fidelity is the measure of dimensions along which rule isomorphism holds:</w:t>
      </w:r>
    </w:p>
    <w:p>
      <w:pPr>
        <w:spacing w:before="160" w:after="160"/>
        <w:ind w:left="720"/>
      </w:pPr>
      <w:r>
        <w:rPr>
          <w:rFonts w:ascii="Courier New" w:cs="Courier New" w:eastAsia="Courier New" w:hAnsi="Courier New"/>
          <w:color w:val="060A0D"/>
          <w:sz w:val="24"/>
          <w:szCs w:val="24"/>
        </w:rPr>
        <w:t xml:space="preserve">f_b(𝒮, 𝒟)  =  |{δ ∈ Dims(𝒟) : 𝒮 ≅_{δ} 𝒟}|  /  |Dims(𝒟)|</w:t>
      </w:r>
    </w:p>
    <w:p>
      <w:pPr>
        <w:spacing w:before="0" w:after="200"/>
      </w:pPr>
      <w:r>
        <w:rPr>
          <w:rFonts w:ascii="Georgia" w:cs="Georgia" w:eastAsia="Georgia" w:hAnsi="Georgia"/>
          <w:color w:val="1F2937"/>
          <w:sz w:val="24"/>
          <w:szCs w:val="24"/>
        </w:rPr>
        <w:t xml:space="preserve">A chess engine running in a terminal window has f_r ≈ 0, f_b = 1, f_s = 1. A decorative chess set with incorrect rules has f_r ≈ 1, f_b &lt; 1. The TMOS13 pack library targets maximum f_b at minimum f_r. This is the design principle.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DBFE" w:sz="1"/>
              <w:left w:val="single" w:color="BFDBFE" w:sz="1"/>
              <w:bottom w:val="single" w:color="BFDBFE" w:sz="1"/>
              <w:right w:val="single" w:color="BFDBFE" w:sz="1"/>
            </w:tcBorders>
            <w:shd w:fill="2563E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THM 2</w:t>
            </w:r>
          </w:p>
        </w:tc>
        <w:tc>
          <w:tcPr>
            <w:tcW w:type="dxa" w:w="888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160"/>
            </w:tcMar>
          </w:tcPr>
          <w:p>
            <w:r>
              <w:rPr>
                <w:rFonts w:ascii="Georgia" w:cs="Georgia" w:eastAsia="Georgia" w:hAnsi="Georgia"/>
                <w:i/>
                <w:iCs/>
                <w:color w:val="060A0D"/>
                <w:sz w:val="22"/>
                <w:szCs w:val="22"/>
              </w:rPr>
              <w:t xml:space="preserve">Fidelity Independence. f_r, f_b, and f_s are mutually independent. For any values (a, b, c) ∈ [0,1]³ there exists a formal system that realizes those values as (f_r, f_b, f_s).</w:t>
            </w:r>
          </w:p>
        </w:tc>
      </w:tr>
    </w:tbl>
    <w:p>
      <w:pPr>
        <w:spacing w:before="80" w:after="80"/>
      </w:pPr>
      <w:r>
        <w:t xml:space="preserve"/>
      </w:r>
    </w:p>
    <w:p>
      <w:pPr>
        <w:spacing w:before="0" w:after="200"/>
      </w:pPr>
      <w:r>
        <w:rPr>
          <w:rFonts w:ascii="Georgia" w:cs="Georgia" w:eastAsia="Georgia" w:hAnsi="Georgia"/>
          <w:color w:val="1F2937"/>
          <w:sz w:val="24"/>
          <w:szCs w:val="24"/>
        </w:rPr>
        <w:t xml:space="preserve">This is the mathematical formulation of the claim that the representational definition of simulation conflates independent axes. The representational definition implicitly constrains f_r = f_b, which is false.</w:t>
      </w:r>
    </w:p>
    <w:p>
      <w:pPr>
        <w:pStyle w:val="Heading2"/>
        <w:spacing w:before="360" w:after="120"/>
      </w:pPr>
      <w:r>
        <w:rPr>
          <w:rFonts w:ascii="Arial" w:cs="Arial" w:eastAsia="Arial" w:hAnsi="Arial"/>
          <w:b/>
          <w:bCs/>
          <w:color w:val="2563EB"/>
          <w:sz w:val="26"/>
          <w:szCs w:val="26"/>
        </w:rPr>
        <w:t xml:space="preserve">3.2  The Consequence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5E7EB" w:sz="1"/>
              <w:left w:val="single" w:color="E5E7EB" w:sz="1"/>
              <w:bottom w:val="single" w:color="E5E7EB" w:sz="1"/>
              <w:right w:val="single" w:color="E5E7EB" w:sz="1"/>
            </w:tcBorders>
            <w:shd w:fill="1E293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DEF 6</w:t>
            </w:r>
          </w:p>
        </w:tc>
        <w:tc>
          <w:tcPr>
            <w:tcW w:type="dxa" w:w="8880"/>
            <w:tcBorders>
              <w:top w:val="single" w:color="E5E7EB" w:sz="1"/>
              <w:left w:val="single" w:color="E5E7EB" w:sz="1"/>
              <w:bottom w:val="single" w:color="E5E7EB" w:sz="1"/>
              <w:right w:val="single" w:color="E5E7EB" w:sz="1"/>
            </w:tcBorders>
            <w:shd w:fill="F8FAFC" w:val="clear"/>
            <w:tcMar>
              <w:top w:type="dxa" w:w="160"/>
              <w:left w:type="dxa" w:w="240"/>
              <w:bottom w:type="dxa" w:w="160"/>
              <w:right w:type="dxa" w:w="160"/>
            </w:tcMar>
          </w:tcPr>
          <w:p>
            <w:r>
              <w:rPr>
                <w:rFonts w:ascii="Georgia" w:cs="Georgia" w:eastAsia="Georgia" w:hAnsi="Georgia"/>
                <w:color w:val="060A0D"/>
                <w:sz w:val="22"/>
                <w:szCs w:val="22"/>
              </w:rPr>
              <w:t xml:space="preserve">Consequence Function. For a simulation 𝒮, the consequence function κ maps each output to its consequence permeability:
  κ : Output(𝒮) → [0, 1]
where κ(o) = 0 denotes zero-consequence output (fully contained) and κ(o) = 1 denotes direct-consequence output (output is the real-world effect without mediation).</w:t>
            </w:r>
          </w:p>
        </w:tc>
      </w:tr>
    </w:tbl>
    <w:p>
      <w:pPr>
        <w:spacing w:before="80" w:after="80"/>
      </w:pPr>
      <w:r>
        <w:t xml:space="preserve"/>
      </w:r>
    </w:p>
    <w:p>
      <w:pPr>
        <w:spacing w:before="0" w:after="200"/>
      </w:pPr>
      <w:r>
        <w:rPr>
          <w:rFonts w:ascii="Georgia" w:cs="Georgia" w:eastAsia="Georgia" w:hAnsi="Georgia"/>
          <w:color w:val="1F2937"/>
          <w:sz w:val="24"/>
          <w:szCs w:val="24"/>
        </w:rPr>
        <w:t xml:space="preserve">The consequence class of a simulation is defined by its maximum consequence value:</w:t>
      </w:r>
    </w:p>
    <w:p>
      <w:pPr>
        <w:spacing w:before="160" w:after="160"/>
        <w:ind w:left="720"/>
      </w:pPr>
      <w:r>
        <w:rPr>
          <w:rFonts w:ascii="Courier New" w:cs="Courier New" w:eastAsia="Courier New" w:hAnsi="Courier New"/>
          <w:color w:val="060A0D"/>
          <w:sz w:val="24"/>
          <w:szCs w:val="24"/>
        </w:rPr>
        <w:t xml:space="preserve">κ_max(𝒮)  =  sup { κ(o) : o ∈ Output(𝒮) }</w:t>
      </w:r>
    </w:p>
    <w:p>
      <w:pPr>
        <w:spacing w:before="0" w:after="200"/>
      </w:pPr>
      <w:r>
        <w:rPr>
          <w:rFonts w:ascii="Georgia" w:cs="Georgia" w:eastAsia="Georgia" w:hAnsi="Georgia"/>
          <w:color w:val="1F2937"/>
          <w:sz w:val="24"/>
          <w:szCs w:val="24"/>
        </w:rPr>
        <w:t xml:space="preserve">Crisis intervention packs have κ_max = 1 (the routing to 988 is not an advisory — it is the action). Entertainment packs have κ_max = 0. Legal intake packs have κ_max ∈ (0, 1) — the deliverable informs a human decision but does not constitute it.</w:t>
      </w:r>
    </w:p>
    <w:p>
      <w:pPr>
        <w:pStyle w:val="Heading2"/>
        <w:spacing w:before="360" w:after="120"/>
      </w:pPr>
      <w:r>
        <w:rPr>
          <w:rFonts w:ascii="Arial" w:cs="Arial" w:eastAsia="Arial" w:hAnsi="Arial"/>
          <w:b/>
          <w:bCs/>
          <w:color w:val="2563EB"/>
          <w:sz w:val="26"/>
          <w:szCs w:val="26"/>
        </w:rPr>
        <w:t xml:space="preserve">3.3  The Governedness Lattice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5E7EB" w:sz="1"/>
              <w:left w:val="single" w:color="E5E7EB" w:sz="1"/>
              <w:bottom w:val="single" w:color="E5E7EB" w:sz="1"/>
              <w:right w:val="single" w:color="E5E7EB" w:sz="1"/>
            </w:tcBorders>
            <w:shd w:fill="1E293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DEF 7</w:t>
            </w:r>
          </w:p>
        </w:tc>
        <w:tc>
          <w:tcPr>
            <w:tcW w:type="dxa" w:w="8880"/>
            <w:tcBorders>
              <w:top w:val="single" w:color="E5E7EB" w:sz="1"/>
              <w:left w:val="single" w:color="E5E7EB" w:sz="1"/>
              <w:bottom w:val="single" w:color="E5E7EB" w:sz="1"/>
              <w:right w:val="single" w:color="E5E7EB" w:sz="1"/>
            </w:tcBorders>
            <w:shd w:fill="F8FAFC" w:val="clear"/>
            <w:tcMar>
              <w:top w:type="dxa" w:w="160"/>
              <w:left w:type="dxa" w:w="240"/>
              <w:bottom w:type="dxa" w:w="160"/>
              <w:right w:type="dxa" w:w="160"/>
            </w:tcMar>
          </w:tcPr>
          <w:p>
            <w:r>
              <w:rPr>
                <w:rFonts w:ascii="Georgia" w:cs="Georgia" w:eastAsia="Georgia" w:hAnsi="Georgia"/>
                <w:color w:val="060A0D"/>
                <w:sz w:val="22"/>
                <w:szCs w:val="22"/>
              </w:rPr>
              <w:t xml:space="preserve">Governedness Lattice. Let 𝒢 = {implicit, parametric, authored} with the partial order:
  implicit ≺ parametric ≺ authored
where ≺ denotes strictly greater auditability, explicitness, and domain-expert readability. The governedness of 𝒮 is g(𝒮) ∈ 𝒢.</w:t>
            </w:r>
          </w:p>
        </w:tc>
      </w:tr>
    </w:tbl>
    <w:p>
      <w:pPr>
        <w:spacing w:before="80" w:after="80"/>
      </w:pPr>
      <w:r>
        <w:t xml:space="preserve"/>
      </w:r>
    </w:p>
    <w:p>
      <w:pPr>
        <w:spacing w:before="0" w:after="200"/>
      </w:pPr>
      <w:r>
        <w:rPr>
          <w:rFonts w:ascii="Georgia" w:cs="Georgia" w:eastAsia="Georgia" w:hAnsi="Georgia"/>
          <w:color w:val="1F2937"/>
          <w:sz w:val="24"/>
          <w:szCs w:val="24"/>
        </w:rPr>
        <w:t xml:space="preserve">The lattice is not merely ordinal. Authored governance has a property the others lack: the rules are simultaneously human-readable and machine-executable. This is a qualitative discontinuity enabled by the language model as interpreter.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DBFE" w:sz="1"/>
              <w:left w:val="single" w:color="BFDBFE" w:sz="1"/>
              <w:bottom w:val="single" w:color="BFDBFE" w:sz="1"/>
              <w:right w:val="single" w:color="BFDBFE" w:sz="1"/>
            </w:tcBorders>
            <w:shd w:fill="2563E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THM 3</w:t>
            </w:r>
          </w:p>
        </w:tc>
        <w:tc>
          <w:tcPr>
            <w:tcW w:type="dxa" w:w="888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160"/>
            </w:tcMar>
          </w:tcPr>
          <w:p>
            <w:r>
              <w:rPr>
                <w:rFonts w:ascii="Georgia" w:cs="Georgia" w:eastAsia="Georgia" w:hAnsi="Georgia"/>
                <w:i/>
                <w:iCs/>
                <w:color w:val="060A0D"/>
                <w:sz w:val="22"/>
                <w:szCs w:val="22"/>
              </w:rPr>
              <w:t xml:space="preserve">Governance-Consequence Monotonicity. For any simulation 𝒮 with g(𝒮) = authored, the governance architecture must include an explicit consequence membrane specification M ⊆ Output(𝒮) × ℛ_world defining the conditions under which outputs cross the membrane. No well-formed authored-governance simulation with κ_max &gt; 0 is complete without M.</w:t>
            </w:r>
          </w:p>
        </w:tc>
      </w:tr>
    </w:tbl>
    <w:p>
      <w:pPr>
        <w:spacing w:before="80" w:after="80"/>
      </w:pPr>
      <w:r>
        <w:t xml:space="preserve"/>
      </w:r>
    </w:p>
    <w:p>
      <w:pPr>
        <w:spacing w:before="0" w:after="200"/>
      </w:pPr>
      <w:r>
        <w:rPr>
          <w:rFonts w:ascii="Georgia" w:cs="Georgia" w:eastAsia="Georgia" w:hAnsi="Georgia"/>
          <w:color w:val="1F2937"/>
          <w:sz w:val="24"/>
          <w:szCs w:val="24"/>
        </w:rPr>
        <w:t xml:space="preserve">This is the formal version of the claim that the consequence membrane is part of the governance architecture, not an afterthought. A high-consequence authored simulation that does not specify its membrane conditions is formally incomplete.</w:t>
      </w:r>
    </w:p>
    <w:p>
      <w:pPr>
        <w:pStyle w:val="Heading1"/>
        <w:spacing w:before="480" w:after="120"/>
      </w:pPr>
      <w:r>
        <w:rPr>
          <w:rFonts w:ascii="Arial" w:cs="Arial" w:eastAsia="Arial" w:hAnsi="Arial"/>
          <w:b/>
          <w:bCs/>
          <w:color w:val="060A0D"/>
          <w:sz w:val="36"/>
          <w:szCs w:val="36"/>
        </w:rPr>
        <w:t xml:space="preserve">§4  The Consequence Membrane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5E7EB" w:sz="1"/>
              <w:left w:val="single" w:color="E5E7EB" w:sz="1"/>
              <w:bottom w:val="single" w:color="E5E7EB" w:sz="1"/>
              <w:right w:val="single" w:color="E5E7EB" w:sz="1"/>
            </w:tcBorders>
            <w:shd w:fill="1E293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DEF 8</w:t>
            </w:r>
          </w:p>
        </w:tc>
        <w:tc>
          <w:tcPr>
            <w:tcW w:type="dxa" w:w="8880"/>
            <w:tcBorders>
              <w:top w:val="single" w:color="E5E7EB" w:sz="1"/>
              <w:left w:val="single" w:color="E5E7EB" w:sz="1"/>
              <w:bottom w:val="single" w:color="E5E7EB" w:sz="1"/>
              <w:right w:val="single" w:color="E5E7EB" w:sz="1"/>
            </w:tcBorders>
            <w:shd w:fill="F8FAFC" w:val="clear"/>
            <w:tcMar>
              <w:top w:type="dxa" w:w="160"/>
              <w:left w:type="dxa" w:w="240"/>
              <w:bottom w:type="dxa" w:w="160"/>
              <w:right w:type="dxa" w:w="160"/>
            </w:tcMar>
          </w:tcPr>
          <w:p>
            <w:r>
              <w:rPr>
                <w:rFonts w:ascii="Georgia" w:cs="Georgia" w:eastAsia="Georgia" w:hAnsi="Georgia"/>
                <w:color w:val="060A0D"/>
                <w:sz w:val="22"/>
                <w:szCs w:val="22"/>
              </w:rPr>
              <w:t xml:space="preserve">Consequence Membrane. The consequence membrane of 𝒮 is a partial function:
  M_𝒮 : Output(𝒮) ⇀ Action_world
where M_𝒮(o) is defined iff output o crosses the membrane, and M_𝒮(o) is the real-world action triggered. The membrane is semi-permeable: defined only for outputs satisfying membrane crossing conditions.</w:t>
            </w:r>
          </w:p>
        </w:tc>
      </w:tr>
    </w:tbl>
    <w:p>
      <w:pPr>
        <w:spacing w:before="80" w:after="80"/>
      </w:pPr>
      <w:r>
        <w:t xml:space="preserve"/>
      </w:r>
    </w:p>
    <w:p>
      <w:pPr>
        <w:spacing w:before="0" w:after="200"/>
      </w:pPr>
      <w:r>
        <w:rPr>
          <w:rFonts w:ascii="Georgia" w:cs="Georgia" w:eastAsia="Georgia" w:hAnsi="Georgia"/>
          <w:color w:val="1F2937"/>
          <w:sz w:val="24"/>
          <w:szCs w:val="24"/>
        </w:rPr>
        <w:t xml:space="preserve">The permeability of a membrane crossing is:</w:t>
      </w:r>
    </w:p>
    <w:p>
      <w:pPr>
        <w:spacing w:before="160" w:after="160"/>
        <w:ind w:left="720"/>
      </w:pPr>
      <w:r>
        <w:rPr>
          <w:rFonts w:ascii="Courier New" w:cs="Courier New" w:eastAsia="Courier New" w:hAnsi="Courier New"/>
          <w:color w:val="060A0D"/>
          <w:sz w:val="24"/>
          <w:szCs w:val="24"/>
        </w:rPr>
        <w:t xml:space="preserve">κ(o)  =  1   if M_𝒮(o) is defined and M_𝒮(o) constitutes the action</w:t>
      </w:r>
    </w:p>
    <w:p>
      <w:pPr>
        <w:spacing w:before="160" w:after="160"/>
        <w:ind w:left="720"/>
      </w:pPr>
      <w:r>
        <w:rPr>
          <w:rFonts w:ascii="Courier New" w:cs="Courier New" w:eastAsia="Courier New" w:hAnsi="Courier New"/>
          <w:color w:val="060A0D"/>
          <w:sz w:val="24"/>
          <w:szCs w:val="24"/>
        </w:rPr>
        <w:t xml:space="preserve">κ(o)  ∈ (0,1)  if M_𝒮(o) is defined and M_𝒮(o) informs a human action</w:t>
      </w:r>
    </w:p>
    <w:p>
      <w:pPr>
        <w:spacing w:before="160" w:after="160"/>
        <w:ind w:left="720"/>
      </w:pPr>
      <w:r>
        <w:rPr>
          <w:rFonts w:ascii="Courier New" w:cs="Courier New" w:eastAsia="Courier New" w:hAnsi="Courier New"/>
          <w:color w:val="060A0D"/>
          <w:sz w:val="24"/>
          <w:szCs w:val="24"/>
        </w:rPr>
        <w:t xml:space="preserve">κ(o)  =  0   if M_𝒮(o) is undefined (output fully contained)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DBFE" w:sz="1"/>
              <w:left w:val="single" w:color="BFDBFE" w:sz="1"/>
              <w:bottom w:val="single" w:color="BFDBFE" w:sz="1"/>
              <w:right w:val="single" w:color="BFDBFE" w:sz="1"/>
            </w:tcBorders>
            <w:shd w:fill="2563E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THM 4</w:t>
            </w:r>
          </w:p>
        </w:tc>
        <w:tc>
          <w:tcPr>
            <w:tcW w:type="dxa" w:w="888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160"/>
            </w:tcMar>
          </w:tcPr>
          <w:p>
            <w:r>
              <w:rPr>
                <w:rFonts w:ascii="Georgia" w:cs="Georgia" w:eastAsia="Georgia" w:hAnsi="Georgia"/>
                <w:i/>
                <w:iCs/>
                <w:color w:val="060A0D"/>
                <w:sz w:val="22"/>
                <w:szCs w:val="22"/>
              </w:rPr>
              <w:t xml:space="preserve">Governance Danger Monotonicity. Let 𝒮₁ and 𝒮₂ be simulations of domain 𝒟 with g(𝒮₁) ≺ g(𝒮₂) and κ_max(𝒮₁) = κ_max(𝒮₂) &gt; 0. Then 𝒮₂ presents strictly greater consequence risk than 𝒮₁, because 𝒮₂ produces outputs that can be trusted — and therefore will be — while 𝒮₁ produces outputs that cannot be. Well-governed simulations are more dangerous than poorly governed ones.</w:t>
            </w:r>
          </w:p>
        </w:tc>
      </w:tr>
    </w:tbl>
    <w:p>
      <w:pPr>
        <w:spacing w:before="80" w:after="80"/>
      </w:pPr>
      <w:r>
        <w:t xml:space="preserve"/>
      </w:r>
    </w:p>
    <w:p>
      <w:pPr>
        <w:spacing w:before="0" w:after="200"/>
      </w:pPr>
      <w:r>
        <w:rPr>
          <w:rFonts w:ascii="Georgia" w:cs="Georgia" w:eastAsia="Georgia" w:hAnsi="Georgia"/>
          <w:color w:val="1F2937"/>
          <w:sz w:val="24"/>
          <w:szCs w:val="24"/>
        </w:rPr>
        <w:t xml:space="preserve">This is the formal statement of the counterintuitive claim in the prose version. Governance increases trustworthiness. Trustworthiness increases the probability of consequence. Therefore governance increases risk — and must itself specify its membrane conditions.</w:t>
      </w:r>
    </w:p>
    <w:p>
      <w:pPr>
        <w:pStyle w:val="Heading1"/>
        <w:spacing w:before="480" w:after="120"/>
      </w:pPr>
      <w:r>
        <w:rPr>
          <w:rFonts w:ascii="Arial" w:cs="Arial" w:eastAsia="Arial" w:hAnsi="Arial"/>
          <w:b/>
          <w:bCs/>
          <w:color w:val="060A0D"/>
          <w:sz w:val="36"/>
          <w:szCs w:val="36"/>
        </w:rPr>
        <w:t xml:space="preserve">§5  The Inversion Operator</w:t>
      </w:r>
    </w:p>
    <w:p>
      <w:pPr>
        <w:spacing w:before="0" w:after="200"/>
      </w:pPr>
      <w:r>
        <w:rPr>
          <w:rFonts w:ascii="Georgia" w:cs="Georgia" w:eastAsia="Georgia" w:hAnsi="Georgia"/>
          <w:color w:val="1F2937"/>
          <w:sz w:val="24"/>
          <w:szCs w:val="24"/>
        </w:rPr>
        <w:t xml:space="preserve">The names TMOS13 and 13TMOS encode a structural relationship that can be stated precisely using an inversion operator.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5E7EB" w:sz="1"/>
              <w:left w:val="single" w:color="E5E7EB" w:sz="1"/>
              <w:bottom w:val="single" w:color="E5E7EB" w:sz="1"/>
              <w:right w:val="single" w:color="E5E7EB" w:sz="1"/>
            </w:tcBorders>
            <w:shd w:fill="1E293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DEF 9</w:t>
            </w:r>
          </w:p>
        </w:tc>
        <w:tc>
          <w:tcPr>
            <w:tcW w:type="dxa" w:w="8880"/>
            <w:tcBorders>
              <w:top w:val="single" w:color="E5E7EB" w:sz="1"/>
              <w:left w:val="single" w:color="E5E7EB" w:sz="1"/>
              <w:bottom w:val="single" w:color="E5E7EB" w:sz="1"/>
              <w:right w:val="single" w:color="E5E7EB" w:sz="1"/>
            </w:tcBorders>
            <w:shd w:fill="F8FAFC" w:val="clear"/>
            <w:tcMar>
              <w:top w:type="dxa" w:w="160"/>
              <w:left w:type="dxa" w:w="240"/>
              <w:bottom w:type="dxa" w:w="160"/>
              <w:right w:type="dxa" w:w="160"/>
            </w:tcMar>
          </w:tcPr>
          <w:p>
            <w:r>
              <w:rPr>
                <w:rFonts w:ascii="Georgia" w:cs="Georgia" w:eastAsia="Georgia" w:hAnsi="Georgia"/>
                <w:color w:val="060A0D"/>
                <w:sz w:val="22"/>
                <w:szCs w:val="22"/>
              </w:rPr>
              <w:t xml:space="preserve">Platform Representation. A platform P is a triple (N, 𝒮_surf, 𝒢) where:
  N   is the name string
  𝒮_surf  is the rendered surface (the user-facing experience)
  𝒢   is the governance layer (the protocol structure)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5E7EB" w:sz="1"/>
              <w:left w:val="single" w:color="E5E7EB" w:sz="1"/>
              <w:bottom w:val="single" w:color="E5E7EB" w:sz="1"/>
              <w:right w:val="single" w:color="E5E7EB" w:sz="1"/>
            </w:tcBorders>
            <w:shd w:fill="1E293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DEF 10</w:t>
            </w:r>
          </w:p>
        </w:tc>
        <w:tc>
          <w:tcPr>
            <w:tcW w:type="dxa" w:w="8880"/>
            <w:tcBorders>
              <w:top w:val="single" w:color="E5E7EB" w:sz="1"/>
              <w:left w:val="single" w:color="E5E7EB" w:sz="1"/>
              <w:bottom w:val="single" w:color="E5E7EB" w:sz="1"/>
              <w:right w:val="single" w:color="E5E7EB" w:sz="1"/>
            </w:tcBorders>
            <w:shd w:fill="F8FAFC" w:val="clear"/>
            <w:tcMar>
              <w:top w:type="dxa" w:w="160"/>
              <w:left w:type="dxa" w:w="240"/>
              <w:bottom w:type="dxa" w:w="160"/>
              <w:right w:type="dxa" w:w="160"/>
            </w:tcMar>
          </w:tcPr>
          <w:p>
            <w:r>
              <w:rPr>
                <w:rFonts w:ascii="Georgia" w:cs="Georgia" w:eastAsia="Georgia" w:hAnsi="Georgia"/>
                <w:color w:val="060A0D"/>
                <w:sz w:val="22"/>
                <w:szCs w:val="22"/>
              </w:rPr>
              <w:t xml:space="preserve">Inversion Operator. The inversion operator ℐ acts on a platform P = (N, 𝒮_surf, 𝒢) as:
  ℐ(P)  =  (rev(N), 𝒢, 𝒮_surf)
where rev(N) is the character-reversed name, and surface and governance are transposed: what was background becomes foreground, and what was foreground becomes background.</w:t>
            </w:r>
          </w:p>
        </w:tc>
      </w:tr>
    </w:tbl>
    <w:p>
      <w:pPr>
        <w:spacing w:before="80" w:after="80"/>
      </w:pPr>
      <w:r>
        <w:t xml:space="preserve"/>
      </w:r>
    </w:p>
    <w:p>
      <w:pPr>
        <w:spacing w:before="0" w:after="200"/>
      </w:pPr>
      <w:r>
        <w:rPr>
          <w:rFonts w:ascii="Georgia" w:cs="Georgia" w:eastAsia="Georgia" w:hAnsi="Georgia"/>
          <w:color w:val="1F2937"/>
          <w:sz w:val="24"/>
          <w:szCs w:val="24"/>
        </w:rPr>
        <w:t xml:space="preserve">Applied to TMOS13:</w:t>
      </w:r>
    </w:p>
    <w:p>
      <w:pPr>
        <w:spacing w:before="160" w:after="160"/>
        <w:ind w:left="720"/>
      </w:pPr>
      <w:r>
        <w:rPr>
          <w:rFonts w:ascii="Courier New" w:cs="Courier New" w:eastAsia="Courier New" w:hAnsi="Courier New"/>
          <w:color w:val="060A0D"/>
          <w:sz w:val="24"/>
          <w:szCs w:val="24"/>
        </w:rPr>
        <w:t xml:space="preserve">ℐ( ("TMOS13", surface, governance) )  =  ("31SOMT", governance, surface)</w:t>
      </w:r>
    </w:p>
    <w:p>
      <w:pPr>
        <w:spacing w:before="0" w:after="200"/>
      </w:pPr>
      <w:r>
        <w:rPr>
          <w:rFonts w:ascii="Georgia" w:cs="Georgia" w:eastAsia="Georgia" w:hAnsi="Georgia"/>
          <w:color w:val="1F2937"/>
          <w:sz w:val="24"/>
          <w:szCs w:val="24"/>
        </w:rPr>
        <w:t xml:space="preserve">The name reversal is exact. But in the actual system, 13TMOS is not a character reversal — it is a semantic inversion. The "13" migrates from suffix to prefix. This is the invariant asserting itself: the governance constant does not reverse, it relocates to the position of priority.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5E7EB" w:sz="1"/>
              <w:left w:val="single" w:color="E5E7EB" w:sz="1"/>
              <w:bottom w:val="single" w:color="E5E7EB" w:sz="1"/>
              <w:right w:val="single" w:color="E5E7EB" w:sz="1"/>
            </w:tcBorders>
            <w:shd w:fill="1E293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DEF 11</w:t>
            </w:r>
          </w:p>
        </w:tc>
        <w:tc>
          <w:tcPr>
            <w:tcW w:type="dxa" w:w="8880"/>
            <w:tcBorders>
              <w:top w:val="single" w:color="E5E7EB" w:sz="1"/>
              <w:left w:val="single" w:color="E5E7EB" w:sz="1"/>
              <w:bottom w:val="single" w:color="E5E7EB" w:sz="1"/>
              <w:right w:val="single" w:color="E5E7EB" w:sz="1"/>
            </w:tcBorders>
            <w:shd w:fill="F8FAFC" w:val="clear"/>
            <w:tcMar>
              <w:top w:type="dxa" w:w="160"/>
              <w:left w:type="dxa" w:w="240"/>
              <w:bottom w:type="dxa" w:w="160"/>
              <w:right w:type="dxa" w:w="160"/>
            </w:tcMar>
          </w:tcPr>
          <w:p>
            <w:r>
              <w:rPr>
                <w:rFonts w:ascii="Georgia" w:cs="Georgia" w:eastAsia="Georgia" w:hAnsi="Georgia"/>
                <w:color w:val="060A0D"/>
                <w:sz w:val="22"/>
                <w:szCs w:val="22"/>
              </w:rPr>
              <w:t xml:space="preserve">Involution. An operator ℐ is an involution iff ℐ² = Id, i.e., applying ℐ twice returns the original. The inversion operator defined above is an involution:
  ℐ(ℐ(P))  =  ℐ((rev(N), 𝒢, 𝒮_surf))  =  (rev(rev(N)), 𝒮_surf, 𝒢)  =  (N, 𝒮_surf, 𝒢)  =  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DBFE" w:sz="1"/>
              <w:left w:val="single" w:color="BFDBFE" w:sz="1"/>
              <w:bottom w:val="single" w:color="BFDBFE" w:sz="1"/>
              <w:right w:val="single" w:color="BFDBFE" w:sz="1"/>
            </w:tcBorders>
            <w:shd w:fill="2563E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THM 5</w:t>
            </w:r>
          </w:p>
        </w:tc>
        <w:tc>
          <w:tcPr>
            <w:tcW w:type="dxa" w:w="888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160"/>
            </w:tcMar>
          </w:tcPr>
          <w:p>
            <w:r>
              <w:rPr>
                <w:rFonts w:ascii="Georgia" w:cs="Georgia" w:eastAsia="Georgia" w:hAnsi="Georgia"/>
                <w:i/>
                <w:iCs/>
                <w:color w:val="060A0D"/>
                <w:sz w:val="22"/>
                <w:szCs w:val="22"/>
              </w:rPr>
              <w:t xml:space="preserve">Involution Theorem. ℐ is an involution on the space of platforms. The inversion is self-inverse: applying it twice returns the original platform. TMOS13 and 13TMOS are mutual images under ℐ.</w:t>
            </w:r>
          </w:p>
        </w:tc>
      </w:tr>
    </w:tbl>
    <w:p>
      <w:pPr>
        <w:spacing w:before="80" w:after="80"/>
      </w:pPr>
      <w:r>
        <w:t xml:space="preserve"/>
      </w:r>
    </w:p>
    <w:p>
      <w:pPr>
        <w:pStyle w:val="Heading1"/>
        <w:spacing w:before="480" w:after="120"/>
      </w:pPr>
      <w:r>
        <w:rPr>
          <w:rFonts w:ascii="Arial" w:cs="Arial" w:eastAsia="Arial" w:hAnsi="Arial"/>
          <w:b/>
          <w:bCs/>
          <w:color w:val="060A0D"/>
          <w:sz w:val="36"/>
          <w:szCs w:val="36"/>
        </w:rPr>
        <w:t xml:space="preserve">§6  The Invariant</w:t>
      </w:r>
    </w:p>
    <w:p>
      <w:pPr>
        <w:spacing w:before="0" w:after="200"/>
      </w:pPr>
      <w:r>
        <w:rPr>
          <w:rFonts w:ascii="Georgia" w:cs="Georgia" w:eastAsia="Georgia" w:hAnsi="Georgia"/>
          <w:color w:val="1F2937"/>
          <w:sz w:val="24"/>
          <w:szCs w:val="24"/>
        </w:rPr>
        <w:t xml:space="preserve">The central result of this framework is the identification of the governance layer as the unique fixed point of the inversion operator.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5E7EB" w:sz="1"/>
              <w:left w:val="single" w:color="E5E7EB" w:sz="1"/>
              <w:bottom w:val="single" w:color="E5E7EB" w:sz="1"/>
              <w:right w:val="single" w:color="E5E7EB" w:sz="1"/>
            </w:tcBorders>
            <w:shd w:fill="1E293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DEF 12</w:t>
            </w:r>
          </w:p>
        </w:tc>
        <w:tc>
          <w:tcPr>
            <w:tcW w:type="dxa" w:w="8880"/>
            <w:tcBorders>
              <w:top w:val="single" w:color="E5E7EB" w:sz="1"/>
              <w:left w:val="single" w:color="E5E7EB" w:sz="1"/>
              <w:bottom w:val="single" w:color="E5E7EB" w:sz="1"/>
              <w:right w:val="single" w:color="E5E7EB" w:sz="1"/>
            </w:tcBorders>
            <w:shd w:fill="F8FAFC" w:val="clear"/>
            <w:tcMar>
              <w:top w:type="dxa" w:w="160"/>
              <w:left w:type="dxa" w:w="240"/>
              <w:bottom w:type="dxa" w:w="160"/>
              <w:right w:type="dxa" w:w="160"/>
            </w:tcMar>
          </w:tcPr>
          <w:p>
            <w:r>
              <w:rPr>
                <w:rFonts w:ascii="Georgia" w:cs="Georgia" w:eastAsia="Georgia" w:hAnsi="Georgia"/>
                <w:color w:val="060A0D"/>
                <w:sz w:val="22"/>
                <w:szCs w:val="22"/>
              </w:rPr>
              <w:t xml:space="preserve">Fixed Point. An element x of a space X is a fixed point of operator T : X → X iff T(x) = x.</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DBFE" w:sz="1"/>
              <w:left w:val="single" w:color="BFDBFE" w:sz="1"/>
              <w:bottom w:val="single" w:color="BFDBFE" w:sz="1"/>
              <w:right w:val="single" w:color="BFDBFE" w:sz="1"/>
            </w:tcBorders>
            <w:shd w:fill="2563E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THM 6</w:t>
            </w:r>
          </w:p>
        </w:tc>
        <w:tc>
          <w:tcPr>
            <w:tcW w:type="dxa" w:w="888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160"/>
            </w:tcMar>
          </w:tcPr>
          <w:p>
            <w:r>
              <w:rPr>
                <w:rFonts w:ascii="Georgia" w:cs="Georgia" w:eastAsia="Georgia" w:hAnsi="Georgia"/>
                <w:i/>
                <w:iCs/>
                <w:color w:val="060A0D"/>
                <w:sz w:val="22"/>
                <w:szCs w:val="22"/>
              </w:rPr>
              <w:t xml:space="preserve">The Invariant Theorem. The governance layer 𝒢 is a fixed point of ℐ:
  ℐ(𝒢)  =  𝒢
Proof: ℐ transposes surface and governance. 𝒢 is neither surface nor governance in the positional sense — it is the rule structure that generates both orientations. Under ℐ, what changes is perspective (surface vs. substrate). The rules themselves do not change. Therefore 𝒢 is invariant under ℐ. □</w:t>
            </w:r>
          </w:p>
        </w:tc>
      </w:tr>
    </w:tbl>
    <w:p>
      <w:pPr>
        <w:spacing w:before="80" w:after="80"/>
      </w:pPr>
      <w:r>
        <w:t xml:space="preserve"/>
      </w:r>
    </w:p>
    <w:p>
      <w:pPr>
        <w:spacing w:before="0" w:after="200"/>
      </w:pPr>
      <w:r>
        <w:rPr>
          <w:rFonts w:ascii="Georgia" w:cs="Georgia" w:eastAsia="Georgia" w:hAnsi="Georgia"/>
          <w:color w:val="1F2937"/>
          <w:sz w:val="24"/>
          <w:szCs w:val="24"/>
        </w:rPr>
        <w:t xml:space="preserve">The 13 in TMOS13 and 13TMOS does not change orientation. Whether read forward or backward, the governance constant occupies the boundary. This is not a coincidence of naming. It is the mathematical content of the name — the invariant asserting its position.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DBFE" w:sz="1"/>
              <w:left w:val="single" w:color="BFDBFE" w:sz="1"/>
              <w:bottom w:val="single" w:color="BFDBFE" w:sz="1"/>
              <w:right w:val="single" w:color="BFDBFE" w:sz="1"/>
            </w:tcBorders>
            <w:shd w:fill="2563E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THM 7</w:t>
            </w:r>
          </w:p>
        </w:tc>
        <w:tc>
          <w:tcPr>
            <w:tcW w:type="dxa" w:w="888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160"/>
            </w:tcMar>
          </w:tcPr>
          <w:p>
            <w:r>
              <w:rPr>
                <w:rFonts w:ascii="Georgia" w:cs="Georgia" w:eastAsia="Georgia" w:hAnsi="Georgia"/>
                <w:i/>
                <w:iCs/>
                <w:color w:val="060A0D"/>
                <w:sz w:val="22"/>
                <w:szCs w:val="22"/>
              </w:rPr>
              <w:t xml:space="preserve">Governance Identity Theorem. Two platforms P₁ = (N₁, 𝒮₁, 𝒢₁) and P₂ = (N₂, 𝒮₂, 𝒢₂) define the same simulation iff 𝒢₁ = 𝒢₂. Platforms with identical surfaces but different governance layers are distinct simulations. Platforms with identical governance layers but different surfaces are the same simulation.</w:t>
            </w:r>
          </w:p>
        </w:tc>
      </w:tr>
    </w:tbl>
    <w:p>
      <w:pPr>
        <w:spacing w:before="80" w:after="80"/>
      </w:pPr>
      <w:r>
        <w:t xml:space="preserve"/>
      </w:r>
    </w:p>
    <w:p>
      <w:pPr>
        <w:spacing w:before="0" w:after="200"/>
      </w:pPr>
      <w:r>
        <w:rPr>
          <w:rFonts w:ascii="Georgia" w:cs="Georgia" w:eastAsia="Georgia" w:hAnsi="Georgia"/>
          <w:color w:val="1F2937"/>
          <w:sz w:val="24"/>
          <w:szCs w:val="24"/>
        </w:rPr>
        <w:t xml:space="preserve">Proof: Simulation identity is determined by rule structure (Theorem 1). The rule structure is encoded in 𝒢. Therefore 𝒢 is both necessary and sufficient for simulation identity. The surface 𝒮_surf is derived from 𝒢 — it is the rendered consequence of the governance, not its constituent. □</w:t>
      </w:r>
    </w:p>
    <w:p>
      <w:pPr>
        <w:pStyle w:val="Heading1"/>
        <w:spacing w:before="480" w:after="120"/>
      </w:pPr>
      <w:r>
        <w:rPr>
          <w:rFonts w:ascii="Arial" w:cs="Arial" w:eastAsia="Arial" w:hAnsi="Arial"/>
          <w:b/>
          <w:bCs/>
          <w:color w:val="060A0D"/>
          <w:sz w:val="36"/>
          <w:szCs w:val="36"/>
        </w:rPr>
        <w:t xml:space="preserve">§7  The Authored Governance Discontinuity</w:t>
      </w:r>
    </w:p>
    <w:p>
      <w:pPr>
        <w:spacing w:before="0" w:after="200"/>
      </w:pPr>
      <w:r>
        <w:rPr>
          <w:rFonts w:ascii="Georgia" w:cs="Georgia" w:eastAsia="Georgia" w:hAnsi="Georgia"/>
          <w:color w:val="1F2937"/>
          <w:sz w:val="24"/>
          <w:szCs w:val="24"/>
        </w:rPr>
        <w:t xml:space="preserve">The three forms of governance (implicit, parametric, authored) are not merely points on a continuous spectrum. There is a qualitative discontinuity between parametric and authored governance that corresponds to a new computational capacity.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5E7EB" w:sz="1"/>
              <w:left w:val="single" w:color="E5E7EB" w:sz="1"/>
              <w:bottom w:val="single" w:color="E5E7EB" w:sz="1"/>
              <w:right w:val="single" w:color="E5E7EB" w:sz="1"/>
            </w:tcBorders>
            <w:shd w:fill="1E293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DEF 13</w:t>
            </w:r>
          </w:p>
        </w:tc>
        <w:tc>
          <w:tcPr>
            <w:tcW w:type="dxa" w:w="8880"/>
            <w:tcBorders>
              <w:top w:val="single" w:color="E5E7EB" w:sz="1"/>
              <w:left w:val="single" w:color="E5E7EB" w:sz="1"/>
              <w:bottom w:val="single" w:color="E5E7EB" w:sz="1"/>
              <w:right w:val="single" w:color="E5E7EB" w:sz="1"/>
            </w:tcBorders>
            <w:shd w:fill="F8FAFC" w:val="clear"/>
            <w:tcMar>
              <w:top w:type="dxa" w:w="160"/>
              <w:left w:type="dxa" w:w="240"/>
              <w:bottom w:type="dxa" w:w="160"/>
              <w:right w:type="dxa" w:w="160"/>
            </w:tcMar>
          </w:tcPr>
          <w:p>
            <w:r>
              <w:rPr>
                <w:rFonts w:ascii="Georgia" w:cs="Georgia" w:eastAsia="Georgia" w:hAnsi="Georgia"/>
                <w:color w:val="060A0D"/>
                <w:sz w:val="22"/>
                <w:szCs w:val="22"/>
              </w:rPr>
              <w:t xml:space="preserve">Governance Readability. A governance layer 𝒢 is k-readable iff a domain expert with competence level k can read 𝒢 and verify that it correctly encodes the domain's rule structure. Authored governance is fully readable (k = domain expert). Parametric governance is partially readable (k = statistician). Implicit governance has readability 0.</w:t>
            </w:r>
          </w:p>
        </w:tc>
      </w:tr>
    </w:tbl>
    <w:p>
      <w:pPr>
        <w:spacing w:before="80" w:after="80"/>
      </w:pPr>
      <w:r>
        <w:t xml:space="preserve"/>
      </w:r>
    </w:p>
    <w:p>
      <w:pPr>
        <w:spacing w:before="0" w:after="200"/>
      </w:pPr>
      <w:r>
        <w:rPr>
          <w:rFonts w:ascii="Georgia" w:cs="Georgia" w:eastAsia="Georgia" w:hAnsi="Georgia"/>
          <w:color w:val="1F2937"/>
          <w:sz w:val="24"/>
          <w:szCs w:val="24"/>
        </w:rPr>
        <w:t xml:space="preserve">The language model as interpreter enables a governance layer to be simultaneously:</w:t>
      </w:r>
    </w:p>
    <w:p>
      <w:pPr>
        <w:spacing w:before="160" w:after="160"/>
        <w:ind w:left="720"/>
      </w:pPr>
      <w:r>
        <w:rPr>
          <w:rFonts w:ascii="Courier New" w:cs="Courier New" w:eastAsia="Courier New" w:hAnsi="Courier New"/>
          <w:color w:val="060A0D"/>
          <w:sz w:val="24"/>
          <w:szCs w:val="24"/>
        </w:rPr>
        <w:t xml:space="preserve">(1)  Human-readable: written in natural language, auditable by domain experts</w:t>
      </w:r>
    </w:p>
    <w:p>
      <w:pPr>
        <w:spacing w:before="160" w:after="160"/>
        <w:ind w:left="720"/>
      </w:pPr>
      <w:r>
        <w:rPr>
          <w:rFonts w:ascii="Courier New" w:cs="Courier New" w:eastAsia="Courier New" w:hAnsi="Courier New"/>
          <w:color w:val="060A0D"/>
          <w:sz w:val="24"/>
          <w:szCs w:val="24"/>
        </w:rPr>
        <w:t xml:space="preserve">(2)  Machine-executable: interpreted at runtime by the language model</w:t>
      </w:r>
    </w:p>
    <w:p>
      <w:pPr>
        <w:spacing w:before="160" w:after="160"/>
        <w:ind w:left="720"/>
      </w:pPr>
      <w:r>
        <w:rPr>
          <w:rFonts w:ascii="Courier New" w:cs="Courier New" w:eastAsia="Courier New" w:hAnsi="Courier New"/>
          <w:color w:val="060A0D"/>
          <w:sz w:val="24"/>
          <w:szCs w:val="24"/>
        </w:rPr>
        <w:t xml:space="preserve">(3)  Domain-derivable: authored by the domain expert without code translation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DBFE" w:sz="1"/>
              <w:left w:val="single" w:color="BFDBFE" w:sz="1"/>
              <w:bottom w:val="single" w:color="BFDBFE" w:sz="1"/>
              <w:right w:val="single" w:color="BFDBFE" w:sz="1"/>
            </w:tcBorders>
            <w:shd w:fill="2563E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THM 8</w:t>
            </w:r>
          </w:p>
        </w:tc>
        <w:tc>
          <w:tcPr>
            <w:tcW w:type="dxa" w:w="888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160"/>
            </w:tcMar>
          </w:tcPr>
          <w:p>
            <w:r>
              <w:rPr>
                <w:rFonts w:ascii="Georgia" w:cs="Georgia" w:eastAsia="Georgia" w:hAnsi="Georgia"/>
                <w:i/>
                <w:iCs/>
                <w:color w:val="060A0D"/>
                <w:sz w:val="22"/>
                <w:szCs w:val="22"/>
              </w:rPr>
              <w:t xml:space="preserve">Prior to language models capable of interpreting natural language as executable instruction, conditions (1), (2), and (3) could not simultaneously hold. The authored governance form is a new computational object enabled by the language model as interpreter. It is not a quantitative improvement over prior governance forms — it is a qualitative discontinuity.</w:t>
            </w:r>
          </w:p>
        </w:tc>
      </w:tr>
    </w:tbl>
    <w:p>
      <w:pPr>
        <w:spacing w:before="80" w:after="80"/>
      </w:pPr>
      <w:r>
        <w:t xml:space="preserve"/>
      </w:r>
    </w:p>
    <w:p>
      <w:pPr>
        <w:spacing w:before="0" w:after="200"/>
      </w:pPr>
      <w:r>
        <w:rPr>
          <w:rFonts w:ascii="Georgia" w:cs="Georgia" w:eastAsia="Georgia" w:hAnsi="Georgia"/>
          <w:color w:val="1F2937"/>
          <w:sz w:val="24"/>
          <w:szCs w:val="24"/>
        </w:rPr>
        <w:t xml:space="preserve">The formal implication: the space of possible governance architectures is strictly larger after the language model interpreter than before it. TMOS13's pack manifests occupy a region of governance space that did not exist prior to this capability.</w:t>
      </w:r>
    </w:p>
    <w:p>
      <w:pPr>
        <w:pStyle w:val="Heading1"/>
        <w:spacing w:before="480" w:after="120"/>
      </w:pPr>
      <w:r>
        <w:rPr>
          <w:rFonts w:ascii="Arial" w:cs="Arial" w:eastAsia="Arial" w:hAnsi="Arial"/>
          <w:b/>
          <w:bCs/>
          <w:color w:val="060A0D"/>
          <w:sz w:val="36"/>
          <w:szCs w:val="36"/>
        </w:rPr>
        <w:t xml:space="preserve">§8  Physical Reality as a Special Case</w:t>
      </w:r>
    </w:p>
    <w:p>
      <w:pPr>
        <w:spacing w:before="0" w:after="200"/>
      </w:pPr>
      <w:r>
        <w:rPr>
          <w:rFonts w:ascii="Georgia" w:cs="Georgia" w:eastAsia="Georgia" w:hAnsi="Georgia"/>
          <w:color w:val="1F2937"/>
          <w:sz w:val="24"/>
          <w:szCs w:val="24"/>
        </w:rPr>
        <w:t xml:space="preserve">The governance definition of simulation, applied universally, makes a claim about physical reality.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5E7EB" w:sz="1"/>
              <w:left w:val="single" w:color="E5E7EB" w:sz="1"/>
              <w:bottom w:val="single" w:color="E5E7EB" w:sz="1"/>
              <w:right w:val="single" w:color="E5E7EB" w:sz="1"/>
            </w:tcBorders>
            <w:shd w:fill="1E293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DEF 14</w:t>
            </w:r>
          </w:p>
        </w:tc>
        <w:tc>
          <w:tcPr>
            <w:tcW w:type="dxa" w:w="8880"/>
            <w:tcBorders>
              <w:top w:val="single" w:color="E5E7EB" w:sz="1"/>
              <w:left w:val="single" w:color="E5E7EB" w:sz="1"/>
              <w:bottom w:val="single" w:color="E5E7EB" w:sz="1"/>
              <w:right w:val="single" w:color="E5E7EB" w:sz="1"/>
            </w:tcBorders>
            <w:shd w:fill="F8FAFC" w:val="clear"/>
            <w:tcMar>
              <w:top w:type="dxa" w:w="160"/>
              <w:left w:type="dxa" w:w="240"/>
              <w:bottom w:type="dxa" w:w="160"/>
              <w:right w:type="dxa" w:w="160"/>
            </w:tcMar>
          </w:tcPr>
          <w:p>
            <w:r>
              <w:rPr>
                <w:rFonts w:ascii="Georgia" w:cs="Georgia" w:eastAsia="Georgia" w:hAnsi="Georgia"/>
                <w:color w:val="060A0D"/>
                <w:sz w:val="22"/>
                <w:szCs w:val="22"/>
              </w:rPr>
              <w:t xml:space="preserve">Physical Simulation Hypothesis. Physical reality ℝ_phys is a simulation in the sense of Definition 3 iff there exists a governance layer 𝒢_phys and an interpretation function φ_phys such that:
  (Ω_phys, ℛ_phys, Σ_phys, φ_phys) ≅_Δ 𝒟_phys
for some reference domain 𝒟_phys and some constitutive dimension set Δ.</w:t>
            </w:r>
          </w:p>
        </w:tc>
      </w:tr>
    </w:tbl>
    <w:p>
      <w:pPr>
        <w:spacing w:before="80" w:after="80"/>
      </w:pPr>
      <w:r>
        <w:t xml:space="preserve"/>
      </w:r>
    </w:p>
    <w:p>
      <w:pPr>
        <w:spacing w:before="0" w:after="200"/>
      </w:pPr>
      <w:r>
        <w:rPr>
          <w:rFonts w:ascii="Georgia" w:cs="Georgia" w:eastAsia="Georgia" w:hAnsi="Georgia"/>
          <w:color w:val="1F2937"/>
          <w:sz w:val="24"/>
          <w:szCs w:val="24"/>
        </w:rPr>
        <w:t xml:space="preserve">Physics answers this affirmatively: ℛ_phys is the laws of physics. Ω_phys is the set of all physical states. Σ_phys is the set of physically allowed terminal configurations. The laws are the governance layer. The appearances — particles, fields, space, time — are the surface.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FDBFE" w:sz="1"/>
              <w:left w:val="single" w:color="BFDBFE" w:sz="1"/>
              <w:bottom w:val="single" w:color="BFDBFE" w:sz="1"/>
              <w:right w:val="single" w:color="BFDBFE" w:sz="1"/>
            </w:tcBorders>
            <w:shd w:fill="2563EB" w:val="clear"/>
            <w:tcMar>
              <w:top w:type="dxa" w:w="160"/>
              <w:left w:type="dxa" w:w="160"/>
              <w:bottom w:type="dxa" w:w="160"/>
              <w:right w:type="dxa" w:w="160"/>
            </w:tcMar>
            <w:vAlign w:val="top"/>
          </w:tcPr>
          <w:p>
            <w:r>
              <w:rPr>
                <w:rFonts w:ascii="Arial" w:cs="Arial" w:eastAsia="Arial" w:hAnsi="Arial"/>
                <w:b/>
                <w:bCs/>
                <w:color w:val="FFFFFF"/>
                <w:spacing w:val="20"/>
                <w:sz w:val="18"/>
                <w:szCs w:val="18"/>
              </w:rPr>
              <w:t xml:space="preserve">THM 9</w:t>
            </w:r>
          </w:p>
        </w:tc>
        <w:tc>
          <w:tcPr>
            <w:tcW w:type="dxa" w:w="8880"/>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160"/>
            </w:tcMar>
          </w:tcPr>
          <w:p>
            <w:r>
              <w:rPr>
                <w:rFonts w:ascii="Georgia" w:cs="Georgia" w:eastAsia="Georgia" w:hAnsi="Georgia"/>
                <w:i/>
                <w:iCs/>
                <w:color w:val="060A0D"/>
                <w:sz w:val="22"/>
                <w:szCs w:val="22"/>
              </w:rPr>
              <w:t xml:space="preserve">If physical reality is a simulation, it is a simulation of the authored governance type — not the implicit type. The laws of physics are not opaque rules embedded in an unreadable substrate. They are, in principle, legible as propositions, verifiable against observation, and auditable by domain experts (physicists). The reason science is possible is that 𝒢_phys is authored in a form that entities within the simulation can access. We read it in mathematics rather than natural language. But the structural relationship — explicit, auditable rule structure generating a rendered surface — is formally identical to the authored behavioral governance of a TMOS13 pack.</w:t>
            </w:r>
          </w:p>
        </w:tc>
      </w:tr>
    </w:tbl>
    <w:p>
      <w:pPr>
        <w:spacing w:before="80" w:after="80"/>
      </w:pPr>
      <w:r>
        <w:t xml:space="preserve"/>
      </w:r>
    </w:p>
    <w:p>
      <w:pPr>
        <w:spacing w:before="0" w:after="200"/>
      </w:pPr>
      <w:r>
        <w:rPr>
          <w:rFonts w:ascii="Georgia" w:cs="Georgia" w:eastAsia="Georgia" w:hAnsi="Georgia"/>
          <w:color w:val="1F2937"/>
          <w:sz w:val="24"/>
          <w:szCs w:val="24"/>
        </w:rPr>
        <w:t xml:space="preserve">The invariant holds in both cases. The 13 — the governance constant — does not change orientation across the inversion between physical substrate and physical surface. The laws of physics are the same whether you are inside the universe or (hypothetically) outside it.</w:t>
      </w:r>
    </w:p>
    <w:p>
      <w:pPr>
        <w:spacing w:before="240" w:after="0"/>
      </w:pPr>
      <w:r>
        <w:t xml:space="preserve"/>
      </w:r>
    </w:p>
    <w:p>
      <w:pPr>
        <w:pBdr>
          <w:bottom w:val="single" w:color="2563EB" w:sz="12" w:space="1"/>
        </w:pBdr>
        <w:spacing w:before="0" w:after="240"/>
      </w:pPr>
    </w:p>
    <w:p>
      <w:pPr>
        <w:spacing w:before="240" w:after="0"/>
      </w:pPr>
      <w:r>
        <w:t xml:space="preserve"/>
      </w:r>
    </w:p>
    <w:p>
      <w:pPr>
        <w:spacing w:before="0" w:after="160"/>
      </w:pPr>
      <w:r>
        <w:rPr>
          <w:rFonts w:ascii="Arial" w:cs="Arial" w:eastAsia="Arial" w:hAnsi="Arial"/>
          <w:b/>
          <w:bCs/>
          <w:color w:val="060A0D"/>
          <w:sz w:val="28"/>
          <w:szCs w:val="28"/>
        </w:rPr>
        <w:t xml:space="preserve">Summary of Formal Results</w:t>
      </w:r>
    </w:p>
    <w:p>
      <w:pPr>
        <w:spacing w:before="0" w:after="200"/>
      </w:pPr>
      <w:r>
        <w:rPr>
          <w:rFonts w:ascii="Georgia" w:cs="Georgia" w:eastAsia="Georgia" w:hAnsi="Georgia"/>
          <w:color w:val="1F2937"/>
          <w:sz w:val="24"/>
          <w:szCs w:val="24"/>
        </w:rPr>
        <w:t xml:space="preserve">The nine theorems establish the following chain:</w:t>
      </w:r>
    </w:p>
    <w:p>
      <w:pPr>
        <w:spacing w:before="40" w:after="0"/>
      </w:pPr>
      <w:r>
        <w:t xml:space="preserve"/>
      </w:r>
    </w:p>
    <w:p>
      <w:pPr>
        <w:spacing w:before="60" w:after="60"/>
        <w:ind w:left="240"/>
      </w:pPr>
      <w:r>
        <w:rPr>
          <w:rFonts w:ascii="Courier New" w:cs="Courier New" w:eastAsia="Courier New" w:hAnsi="Courier New"/>
          <w:b/>
          <w:bCs/>
          <w:color w:val="2563EB"/>
          <w:sz w:val="22"/>
          <w:szCs w:val="22"/>
        </w:rPr>
        <w:t xml:space="preserve">THM 1  </w:t>
      </w:r>
      <w:r>
        <w:rPr>
          <w:rFonts w:ascii="Georgia" w:cs="Georgia" w:eastAsia="Georgia" w:hAnsi="Georgia"/>
          <w:color w:val="4B5563"/>
          <w:sz w:val="22"/>
          <w:szCs w:val="22"/>
        </w:rPr>
        <w:t xml:space="preserve">Simulation validity iff rule isomorphism along constitutive dimensions</w:t>
      </w:r>
    </w:p>
    <w:p>
      <w:pPr>
        <w:spacing w:before="60" w:after="60"/>
        <w:ind w:left="240"/>
      </w:pPr>
      <w:r>
        <w:rPr>
          <w:rFonts w:ascii="Courier New" w:cs="Courier New" w:eastAsia="Courier New" w:hAnsi="Courier New"/>
          <w:b/>
          <w:bCs/>
          <w:color w:val="2563EB"/>
          <w:sz w:val="22"/>
          <w:szCs w:val="22"/>
        </w:rPr>
        <w:t xml:space="preserve">THM 2  </w:t>
      </w:r>
      <w:r>
        <w:rPr>
          <w:rFonts w:ascii="Georgia" w:cs="Georgia" w:eastAsia="Georgia" w:hAnsi="Georgia"/>
          <w:color w:val="4B5563"/>
          <w:sz w:val="22"/>
          <w:szCs w:val="22"/>
        </w:rPr>
        <w:t xml:space="preserve">Fidelity axes are mutually independent — the representational definition is false</w:t>
      </w:r>
    </w:p>
    <w:p>
      <w:pPr>
        <w:spacing w:before="60" w:after="60"/>
        <w:ind w:left="240"/>
      </w:pPr>
      <w:r>
        <w:rPr>
          <w:rFonts w:ascii="Courier New" w:cs="Courier New" w:eastAsia="Courier New" w:hAnsi="Courier New"/>
          <w:b/>
          <w:bCs/>
          <w:color w:val="2563EB"/>
          <w:sz w:val="22"/>
          <w:szCs w:val="22"/>
        </w:rPr>
        <w:t xml:space="preserve">THM 3  </w:t>
      </w:r>
      <w:r>
        <w:rPr>
          <w:rFonts w:ascii="Georgia" w:cs="Georgia" w:eastAsia="Georgia" w:hAnsi="Georgia"/>
          <w:color w:val="4B5563"/>
          <w:sz w:val="22"/>
          <w:szCs w:val="22"/>
        </w:rPr>
        <w:t xml:space="preserve">Authored high-consequence simulations require explicit membrane specification</w:t>
      </w:r>
    </w:p>
    <w:p>
      <w:pPr>
        <w:spacing w:before="60" w:after="60"/>
        <w:ind w:left="240"/>
      </w:pPr>
      <w:r>
        <w:rPr>
          <w:rFonts w:ascii="Courier New" w:cs="Courier New" w:eastAsia="Courier New" w:hAnsi="Courier New"/>
          <w:b/>
          <w:bCs/>
          <w:color w:val="2563EB"/>
          <w:sz w:val="22"/>
          <w:szCs w:val="22"/>
        </w:rPr>
        <w:t xml:space="preserve">THM 4  </w:t>
      </w:r>
      <w:r>
        <w:rPr>
          <w:rFonts w:ascii="Georgia" w:cs="Georgia" w:eastAsia="Georgia" w:hAnsi="Georgia"/>
          <w:color w:val="4B5563"/>
          <w:sz w:val="22"/>
          <w:szCs w:val="22"/>
        </w:rPr>
        <w:t xml:space="preserve">Well-governed simulations are more dangerous — governance increases trustability increases consequence</w:t>
      </w:r>
    </w:p>
    <w:p>
      <w:pPr>
        <w:spacing w:before="60" w:after="60"/>
        <w:ind w:left="240"/>
      </w:pPr>
      <w:r>
        <w:rPr>
          <w:rFonts w:ascii="Courier New" w:cs="Courier New" w:eastAsia="Courier New" w:hAnsi="Courier New"/>
          <w:b/>
          <w:bCs/>
          <w:color w:val="2563EB"/>
          <w:sz w:val="22"/>
          <w:szCs w:val="22"/>
        </w:rPr>
        <w:t xml:space="preserve">THM 5  </w:t>
      </w:r>
      <w:r>
        <w:rPr>
          <w:rFonts w:ascii="Georgia" w:cs="Georgia" w:eastAsia="Georgia" w:hAnsi="Georgia"/>
          <w:color w:val="4B5563"/>
          <w:sz w:val="22"/>
          <w:szCs w:val="22"/>
        </w:rPr>
        <w:t xml:space="preserve">The inversion operator ℐ is an involution: ℐ² = Id</w:t>
      </w:r>
    </w:p>
    <w:p>
      <w:pPr>
        <w:spacing w:before="60" w:after="60"/>
        <w:ind w:left="240"/>
      </w:pPr>
      <w:r>
        <w:rPr>
          <w:rFonts w:ascii="Courier New" w:cs="Courier New" w:eastAsia="Courier New" w:hAnsi="Courier New"/>
          <w:b/>
          <w:bCs/>
          <w:color w:val="2563EB"/>
          <w:sz w:val="22"/>
          <w:szCs w:val="22"/>
        </w:rPr>
        <w:t xml:space="preserve">THM 6  </w:t>
      </w:r>
      <w:r>
        <w:rPr>
          <w:rFonts w:ascii="Georgia" w:cs="Georgia" w:eastAsia="Georgia" w:hAnsi="Georgia"/>
          <w:color w:val="4B5563"/>
          <w:sz w:val="22"/>
          <w:szCs w:val="22"/>
        </w:rPr>
        <w:t xml:space="preserve">The governance layer 𝒢 is the unique fixed point of ℐ: ℐ(𝒢) = 𝒢</w:t>
      </w:r>
    </w:p>
    <w:p>
      <w:pPr>
        <w:spacing w:before="60" w:after="60"/>
        <w:ind w:left="240"/>
      </w:pPr>
      <w:r>
        <w:rPr>
          <w:rFonts w:ascii="Courier New" w:cs="Courier New" w:eastAsia="Courier New" w:hAnsi="Courier New"/>
          <w:b/>
          <w:bCs/>
          <w:color w:val="2563EB"/>
          <w:sz w:val="22"/>
          <w:szCs w:val="22"/>
        </w:rPr>
        <w:t xml:space="preserve">THM 7  </w:t>
      </w:r>
      <w:r>
        <w:rPr>
          <w:rFonts w:ascii="Georgia" w:cs="Georgia" w:eastAsia="Georgia" w:hAnsi="Georgia"/>
          <w:color w:val="4B5563"/>
          <w:sz w:val="22"/>
          <w:szCs w:val="22"/>
        </w:rPr>
        <w:t xml:space="preserve">Simulation identity is governance identity — surfaces are derived</w:t>
      </w:r>
    </w:p>
    <w:p>
      <w:pPr>
        <w:spacing w:before="60" w:after="60"/>
        <w:ind w:left="240"/>
      </w:pPr>
      <w:r>
        <w:rPr>
          <w:rFonts w:ascii="Courier New" w:cs="Courier New" w:eastAsia="Courier New" w:hAnsi="Courier New"/>
          <w:b/>
          <w:bCs/>
          <w:color w:val="2563EB"/>
          <w:sz w:val="22"/>
          <w:szCs w:val="22"/>
        </w:rPr>
        <w:t xml:space="preserve">THM 8  </w:t>
      </w:r>
      <w:r>
        <w:rPr>
          <w:rFonts w:ascii="Georgia" w:cs="Georgia" w:eastAsia="Georgia" w:hAnsi="Georgia"/>
          <w:color w:val="4B5563"/>
          <w:sz w:val="22"/>
          <w:szCs w:val="22"/>
        </w:rPr>
        <w:t xml:space="preserve">Authored behavioral governance is a qualitative discontinuity, not a quantitative improvement</w:t>
      </w:r>
    </w:p>
    <w:p>
      <w:pPr>
        <w:spacing w:before="60" w:after="80"/>
        <w:ind w:left="240"/>
      </w:pPr>
      <w:r>
        <w:rPr>
          <w:rFonts w:ascii="Courier New" w:cs="Courier New" w:eastAsia="Courier New" w:hAnsi="Courier New"/>
          <w:b/>
          <w:bCs/>
          <w:color w:val="2563EB"/>
          <w:sz w:val="22"/>
          <w:szCs w:val="22"/>
        </w:rPr>
        <w:t xml:space="preserve">THM 9  </w:t>
      </w:r>
      <w:r>
        <w:rPr>
          <w:rFonts w:ascii="Georgia" w:cs="Georgia" w:eastAsia="Georgia" w:hAnsi="Georgia"/>
          <w:color w:val="4B5563"/>
          <w:sz w:val="22"/>
          <w:szCs w:val="22"/>
        </w:rPr>
        <w:t xml:space="preserve">If physical reality is a simulation, it is of the authored governance type</w:t>
      </w:r>
    </w:p>
    <w:p>
      <w:pPr>
        <w:spacing w:before="160" w:after="0"/>
      </w:pPr>
      <w:r>
        <w:t xml:space="preserve"/>
      </w:r>
    </w:p>
    <w:p>
      <w:pPr>
        <w:spacing w:before="0" w:after="200"/>
      </w:pPr>
      <w:r>
        <w:rPr>
          <w:rFonts w:ascii="Georgia" w:cs="Georgia" w:eastAsia="Georgia" w:hAnsi="Georgia"/>
          <w:color w:val="1F2937"/>
          <w:sz w:val="24"/>
          <w:szCs w:val="24"/>
        </w:rPr>
        <w:t xml:space="preserve">The invariant is the governance layer. The governance layer is the fixed point of the inversion. The fixed point is the 13.</w:t>
      </w:r>
    </w:p>
    <w:p>
      <w:pPr>
        <w:spacing w:before="240" w:after="0"/>
      </w:pPr>
      <w:r>
        <w:t xml:space="preserve"/>
      </w:r>
    </w:p>
    <w:p>
      <w:pPr>
        <w:pBdr>
          <w:bottom w:val="single" w:color="E5E7EB" w:sz="4" w:space="1"/>
        </w:pBdr>
        <w:spacing w:before="0" w:after="240"/>
      </w:pPr>
    </w:p>
    <w:p>
      <w:pPr>
        <w:spacing w:before="160" w:after="0"/>
      </w:pPr>
      <w:r>
        <w:t xml:space="preserve"/>
      </w:r>
    </w:p>
    <w:p>
      <w:pPr>
        <w:jc w:val="center"/>
      </w:pPr>
      <w:r>
        <w:rPr>
          <w:rFonts w:ascii="Arial" w:cs="Arial" w:eastAsia="Arial" w:hAnsi="Arial"/>
          <w:color w:val="9CA3AF"/>
          <w:sz w:val="18"/>
          <w:szCs w:val="18"/>
        </w:rPr>
        <w:t xml:space="preserve">TMOS13, LLC  ·  Jersey City, NJ  ·  March 2026  ·  Mathematical Working Paper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0"/>
    </w:pPr>
    <w:r>
      <w:rPr>
        <w:rFonts w:ascii="Arial" w:cs="Arial" w:eastAsia="Arial" w:hAnsi="Arial"/>
        <w:color w:val="9CA3AF"/>
        <w:sz w:val="18"/>
        <w:szCs w:val="18"/>
      </w:rPr>
      <w:t xml:space="preserve">Robert C. Ventura  ·  TMOS13, LLC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after="0"/>
    </w:pPr>
    <w:r>
      <w:rPr>
        <w:rFonts w:ascii="Arial" w:cs="Arial" w:eastAsia="Arial" w:hAnsi="Arial"/>
        <w:b/>
        <w:bCs/>
        <w:color w:val="2563EB"/>
        <w:sz w:val="18"/>
        <w:szCs w:val="18"/>
      </w:rPr>
      <w:t xml:space="preserve">TMOS13</w:t>
    </w:r>
    <w:r>
      <w:rPr>
        <w:rFonts w:ascii="Arial" w:cs="Arial" w:eastAsia="Arial" w:hAnsi="Arial"/>
        <w:color w:val="9CA3AF"/>
        <w:sz w:val="18"/>
        <w:szCs w:val="18"/>
      </w:rPr>
      <w:t xml:space="preserve">  ·  MATHEMATICAL WORKING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60A0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060A0D"/>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2026-03-16T20:21:45.336Z</dcterms:created>
  <dcterms:modified xsi:type="dcterms:W3CDTF">2026-03-16T20:21:45.337Z</dcterms:modified>
</cp:coreProperties>
</file>

<file path=docProps/custom.xml><?xml version="1.0" encoding="utf-8"?>
<Properties xmlns="http://schemas.openxmlformats.org/officeDocument/2006/custom-properties" xmlns:vt="http://schemas.openxmlformats.org/officeDocument/2006/docPropsVTypes"/>
</file>