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563EB"/>
          <w:sz w:val="20"/>
          <w:szCs w:val="20"/>
        </w:rPr>
        <w:t xml:space="preserve">TMOS13</w:t>
      </w:r>
    </w:p>
    <w:p>
      <w:pPr>
        <w:spacing w:after="320"/>
      </w:pPr>
      <w:r>
        <w:rPr>
          <w:rFonts w:ascii="Arial" w:cs="Arial" w:eastAsia="Arial" w:hAnsi="Arial"/>
          <w:color w:val="9CA3AF"/>
          <w:sz w:val="18"/>
          <w:szCs w:val="18"/>
        </w:rPr>
        <w:t xml:space="preserve">Working Paper  ·  March 2026</w:t>
      </w:r>
    </w:p>
    <w:p>
      <w:pPr>
        <w:spacing w:after="120" w:before="0"/>
      </w:pPr>
      <w:r>
        <w:rPr>
          <w:rFonts w:ascii="Arial" w:cs="Arial" w:eastAsia="Arial" w:hAnsi="Arial"/>
          <w:b/>
          <w:bCs/>
          <w:color w:val="111827"/>
          <w:sz w:val="48"/>
          <w:szCs w:val="48"/>
        </w:rPr>
        <w:t xml:space="preserve">The Mechanics of a Governed Simulation</w:t>
      </w:r>
    </w:p>
    <w:p>
      <w:pPr>
        <w:spacing w:after="80"/>
      </w:pPr>
      <w:r>
        <w:rPr>
          <w:rFonts w:ascii="Georgia" w:cs="Georgia" w:eastAsia="Georgia" w:hAnsi="Georgia"/>
          <w:i/>
          <w:iCs/>
          <w:color w:val="6B7280"/>
          <w:sz w:val="24"/>
          <w:szCs w:val="24"/>
        </w:rPr>
        <w:t xml:space="preserve">How AI becomes infrastructure. How governance becomes product. Why this is the next wave.</w:t>
      </w:r>
    </w:p>
    <w:p>
      <w:pPr>
        <w:spacing w:after="0"/>
      </w:pPr>
      <w:r>
        <w:rPr>
          <w:rFonts w:ascii="Arial" w:cs="Arial" w:eastAsia="Arial" w:hAnsi="Arial"/>
          <w:color w:val="9CA3AF"/>
          <w:sz w:val="18"/>
          <w:szCs w:val="18"/>
        </w:rPr>
        <w:t xml:space="preserve">Robert C. Ventura  ·  Founder &amp; CEO, TMOS13, LLC</w:t>
      </w:r>
    </w:p>
    <w:p>
      <w:pPr>
        <w:pBdr>
          <w:bottom w:val="single" w:color="E2E8F0" w:sz="2" w:space="1"/>
        </w:pBdr>
        <w:spacing w:after="320" w:before="320"/>
      </w:pPr>
    </w:p>
    <w:p>
      <w:pPr>
        <w:spacing w:after="160"/>
      </w:pPr>
      <w:r>
        <w:rPr>
          <w:rFonts w:ascii="Georgia" w:cs="Georgia" w:eastAsia="Georgia" w:hAnsi="Georgia"/>
          <w:color w:val="1E293B"/>
          <w:sz w:val="22"/>
          <w:szCs w:val="22"/>
        </w:rPr>
        <w:t xml:space="preserve">The word simulation still triggers the wrong associations. Flight decks. Video games. The Matrix. People hear it and picture a rendering engine — something that looks like something else.</w:t>
      </w:r>
    </w:p>
    <w:p>
      <w:pPr>
        <w:spacing w:after="160"/>
      </w:pPr>
      <w:r>
        <w:rPr>
          <w:rFonts w:ascii="Georgia" w:cs="Georgia" w:eastAsia="Georgia" w:hAnsi="Georgia"/>
          <w:color w:val="1E293B"/>
          <w:sz w:val="22"/>
          <w:szCs w:val="22"/>
        </w:rPr>
        <w:t xml:space="preserve">That is the wrong frame. And it is the frame this document replaces.</w:t>
      </w:r>
    </w:p>
    <w:p>
      <w:pPr>
        <w:pBdr>
          <w:left w:val="single" w:color="2563EB" w:sz="12" w:space="12"/>
        </w:pBdr>
        <w:spacing w:after="240" w:before="240"/>
        <w:ind w:left="720" w:right="720"/>
      </w:pPr>
      <w:r>
        <w:rPr>
          <w:rFonts w:ascii="Georgia" w:cs="Georgia" w:eastAsia="Georgia" w:hAnsi="Georgia"/>
          <w:i/>
          <w:iCs/>
          <w:color w:val="2563EB"/>
          <w:sz w:val="24"/>
          <w:szCs w:val="24"/>
        </w:rPr>
        <w:t xml:space="preserve">A governed simulation is not a representation of something else. It is a rule structure that produces valid outputs in the same way its reference domain does — governed, bounded, auditable, and consequence-aware.</w:t>
      </w:r>
    </w:p>
    <w:p>
      <w:pPr>
        <w:spacing w:after="160"/>
      </w:pPr>
      <w:r>
        <w:rPr>
          <w:rFonts w:ascii="Georgia" w:cs="Georgia" w:eastAsia="Georgia" w:hAnsi="Georgia"/>
          <w:color w:val="1E293B"/>
          <w:sz w:val="22"/>
          <w:szCs w:val="22"/>
        </w:rPr>
        <w:t xml:space="preserve">The practical translation: a governed simulation of a legal intake does not look like a law office. It operates by the same rules a competent attorney applies at intake. The behavioral fidelity is high. The representational fidelity is zero. That is not a limitation. That is the design.</w:t>
      </w:r>
    </w:p>
    <w:p>
      <w:pPr>
        <w:spacing w:after="160"/>
      </w:pPr>
      <w:r>
        <w:rPr>
          <w:rFonts w:ascii="Georgia" w:cs="Georgia" w:eastAsia="Georgia" w:hAnsi="Georgia"/>
          <w:color w:val="1E293B"/>
          <w:sz w:val="22"/>
          <w:szCs w:val="22"/>
        </w:rPr>
        <w:t xml:space="preserve">This document is about mechanics. How a governed simulation is built, how it runs, what each component does, where AI fits in the stack, and why this specific moment in technology makes the category possible for the first time.</w:t>
      </w:r>
    </w:p>
    <w:p>
      <w:pPr>
        <w:pBdr>
          <w:bottom w:val="single" w:color="E2E8F0" w:sz="2" w:space="1"/>
        </w:pBdr>
        <w:spacing w:after="320" w:before="320"/>
      </w:pPr>
    </w:p>
    <w:p>
      <w:pPr>
        <w:pStyle w:val="Heading1"/>
        <w:spacing w:after="160" w:before="560"/>
      </w:pPr>
      <w:r>
        <w:rPr>
          <w:rFonts w:ascii="Arial" w:cs="Arial" w:eastAsia="Arial" w:hAnsi="Arial"/>
          <w:b/>
          <w:bCs/>
          <w:color w:val="111827"/>
          <w:sz w:val="34"/>
          <w:szCs w:val="34"/>
        </w:rPr>
        <w:t xml:space="preserve">I. The Components</w:t>
      </w:r>
    </w:p>
    <w:p>
      <w:pPr>
        <w:spacing w:after="160"/>
      </w:pPr>
      <w:r>
        <w:rPr>
          <w:rFonts w:ascii="Georgia" w:cs="Georgia" w:eastAsia="Georgia" w:hAnsi="Georgia"/>
          <w:color w:val="1E293B"/>
          <w:sz w:val="22"/>
          <w:szCs w:val="22"/>
        </w:rPr>
        <w:t xml:space="preserve">A governed simulation has six mechanical components. Each is distinct. Together they produce something that no single component — including the AI model — could produce alone.</w:t>
      </w:r>
    </w:p>
    <w:p>
      <w:pPr>
        <w:spacing w:after="120"/>
      </w:pPr>
    </w:p>
    <w:p>
      <w:pPr>
        <w:pStyle w:val="Heading2"/>
        <w:spacing w:after="120" w:before="360"/>
      </w:pPr>
      <w:r>
        <w:rPr>
          <w:rFonts w:ascii="Arial" w:cs="Arial" w:eastAsia="Arial" w:hAnsi="Arial"/>
          <w:b/>
          <w:bCs/>
          <w:color w:val="2563EB"/>
          <w:sz w:val="24"/>
          <w:szCs w:val="24"/>
        </w:rPr>
        <w:t xml:space="preserve">The Pack — the simulation specification</w:t>
      </w:r>
    </w:p>
    <w:p>
      <w:pPr>
        <w:spacing w:after="160"/>
      </w:pPr>
      <w:r>
        <w:rPr>
          <w:rFonts w:ascii="Georgia" w:cs="Georgia" w:eastAsia="Georgia" w:hAnsi="Georgia"/>
          <w:color w:val="1E293B"/>
          <w:sz w:val="22"/>
          <w:szCs w:val="22"/>
        </w:rPr>
        <w:t xml:space="preserve">The pack is the simulation. Everything else serves it.</w:t>
      </w:r>
    </w:p>
    <w:p>
      <w:pPr>
        <w:spacing w:after="160"/>
      </w:pPr>
      <w:r>
        <w:rPr>
          <w:rFonts w:ascii="Georgia" w:cs="Georgia" w:eastAsia="Georgia" w:hAnsi="Georgia"/>
          <w:color w:val="1E293B"/>
          <w:sz w:val="22"/>
          <w:szCs w:val="22"/>
        </w:rPr>
        <w:t xml:space="preserve">A pack is a plain-text behavioral specification — a MANIFEST.md and a header.yaml — that defines:</w:t>
      </w:r>
    </w:p>
    <w:p>
      <w:pPr>
        <w:pStyle w:val="ListParagraph"/>
        <w:numPr>
          <w:ilvl w:val="0"/>
          <w:numId w:val="2"/>
        </w:numPr>
        <w:spacing w:after="80"/>
      </w:pPr>
      <w:r>
        <w:rPr>
          <w:rFonts w:ascii="Georgia" w:cs="Georgia" w:eastAsia="Georgia" w:hAnsi="Georgia"/>
          <w:b/>
          <w:bCs/>
          <w:color w:val="1E293B"/>
          <w:sz w:val="22"/>
          <w:szCs w:val="22"/>
        </w:rPr>
        <w:t xml:space="preserve">Authorized actions. </w:t>
      </w:r>
      <w:r>
        <w:rPr>
          <w:rFonts w:ascii="Georgia" w:cs="Georgia" w:eastAsia="Georgia" w:hAnsi="Georgia"/>
          <w:color w:val="1E293B"/>
          <w:sz w:val="22"/>
          <w:szCs w:val="22"/>
        </w:rPr>
        <w:t xml:space="preserve">What the simulation is permitted to do. Nothing outside this list happens.</w:t>
      </w:r>
    </w:p>
    <w:p>
      <w:pPr>
        <w:pStyle w:val="ListParagraph"/>
        <w:numPr>
          <w:ilvl w:val="0"/>
          <w:numId w:val="2"/>
        </w:numPr>
        <w:spacing w:after="80"/>
      </w:pPr>
      <w:r>
        <w:rPr>
          <w:rFonts w:ascii="Georgia" w:cs="Georgia" w:eastAsia="Georgia" w:hAnsi="Georgia"/>
          <w:b/>
          <w:bCs/>
          <w:color w:val="1E293B"/>
          <w:sz w:val="22"/>
          <w:szCs w:val="22"/>
        </w:rPr>
        <w:t xml:space="preserve">Prohibited actions. </w:t>
      </w:r>
      <w:r>
        <w:rPr>
          <w:rFonts w:ascii="Georgia" w:cs="Georgia" w:eastAsia="Georgia" w:hAnsi="Georgia"/>
          <w:color w:val="1E293B"/>
          <w:sz w:val="22"/>
          <w:szCs w:val="22"/>
        </w:rPr>
        <w:t xml:space="preserve">Explicit exclusions in natural language. Versioned. Auditable. Readable by the domain expert.</w:t>
      </w:r>
    </w:p>
    <w:p>
      <w:pPr>
        <w:pStyle w:val="ListParagraph"/>
        <w:numPr>
          <w:ilvl w:val="0"/>
          <w:numId w:val="2"/>
        </w:numPr>
        <w:spacing w:after="80"/>
      </w:pPr>
      <w:r>
        <w:rPr>
          <w:rFonts w:ascii="Georgia" w:cs="Georgia" w:eastAsia="Georgia" w:hAnsi="Georgia"/>
          <w:b/>
          <w:bCs/>
          <w:color w:val="1E293B"/>
          <w:sz w:val="22"/>
          <w:szCs w:val="22"/>
        </w:rPr>
        <w:t xml:space="preserve">Required fields. </w:t>
      </w:r>
      <w:r>
        <w:rPr>
          <w:rFonts w:ascii="Georgia" w:cs="Georgia" w:eastAsia="Georgia" w:hAnsi="Georgia"/>
          <w:color w:val="1E293B"/>
          <w:sz w:val="22"/>
          <w:szCs w:val="22"/>
        </w:rPr>
        <w:t xml:space="preserve">What structured data the session must capture before it can complete.</w:t>
      </w:r>
    </w:p>
    <w:p>
      <w:pPr>
        <w:pStyle w:val="ListParagraph"/>
        <w:numPr>
          <w:ilvl w:val="0"/>
          <w:numId w:val="2"/>
        </w:numPr>
        <w:spacing w:after="80"/>
      </w:pPr>
      <w:r>
        <w:rPr>
          <w:rFonts w:ascii="Georgia" w:cs="Georgia" w:eastAsia="Georgia" w:hAnsi="Georgia"/>
          <w:b/>
          <w:bCs/>
          <w:color w:val="1E293B"/>
          <w:sz w:val="22"/>
          <w:szCs w:val="22"/>
        </w:rPr>
        <w:t xml:space="preserve">Routing rules. </w:t>
      </w:r>
      <w:r>
        <w:rPr>
          <w:rFonts w:ascii="Georgia" w:cs="Georgia" w:eastAsia="Georgia" w:hAnsi="Georgia"/>
          <w:color w:val="1E293B"/>
          <w:sz w:val="22"/>
          <w:szCs w:val="22"/>
        </w:rPr>
        <w:t xml:space="preserve">Conditional logic that governs what happens when specific conditions are met. Some routing is unconditional — suicidal ideation with plan and intent routes to 988 and 911, always.</w:t>
      </w:r>
    </w:p>
    <w:p>
      <w:pPr>
        <w:pStyle w:val="ListParagraph"/>
        <w:numPr>
          <w:ilvl w:val="0"/>
          <w:numId w:val="2"/>
        </w:numPr>
        <w:spacing w:after="80"/>
      </w:pPr>
      <w:r>
        <w:rPr>
          <w:rFonts w:ascii="Georgia" w:cs="Georgia" w:eastAsia="Georgia" w:hAnsi="Georgia"/>
          <w:b/>
          <w:bCs/>
          <w:color w:val="1E293B"/>
          <w:sz w:val="22"/>
          <w:szCs w:val="22"/>
        </w:rPr>
        <w:t xml:space="preserve">Completion criteria. </w:t>
      </w:r>
      <w:r>
        <w:rPr>
          <w:rFonts w:ascii="Georgia" w:cs="Georgia" w:eastAsia="Georgia" w:hAnsi="Georgia"/>
          <w:color w:val="1E293B"/>
          <w:sz w:val="22"/>
          <w:szCs w:val="22"/>
        </w:rPr>
        <w:t xml:space="preserve">The session does not end until these are met.</w:t>
      </w:r>
    </w:p>
    <w:p>
      <w:pPr>
        <w:pStyle w:val="ListParagraph"/>
        <w:numPr>
          <w:ilvl w:val="0"/>
          <w:numId w:val="2"/>
        </w:numPr>
        <w:spacing w:after="160"/>
      </w:pPr>
      <w:r>
        <w:rPr>
          <w:rFonts w:ascii="Georgia" w:cs="Georgia" w:eastAsia="Georgia" w:hAnsi="Georgia"/>
          <w:b/>
          <w:bCs/>
          <w:color w:val="1E293B"/>
          <w:sz w:val="22"/>
          <w:szCs w:val="22"/>
        </w:rPr>
        <w:t xml:space="preserve">Deliverable schema. </w:t>
      </w:r>
      <w:r>
        <w:rPr>
          <w:rFonts w:ascii="Georgia" w:cs="Georgia" w:eastAsia="Georgia" w:hAnsi="Georgia"/>
          <w:color w:val="1E293B"/>
          <w:sz w:val="22"/>
          <w:szCs w:val="22"/>
        </w:rPr>
        <w:t xml:space="preserve">The typed structure of what the session produces.</w:t>
      </w:r>
    </w:p>
    <w:p>
      <w:pPr>
        <w:spacing w:after="160"/>
      </w:pPr>
      <w:r>
        <w:rPr>
          <w:rFonts w:ascii="Georgia" w:cs="Georgia" w:eastAsia="Georgia" w:hAnsi="Georgia"/>
          <w:color w:val="1E293B"/>
          <w:sz w:val="22"/>
          <w:szCs w:val="22"/>
        </w:rPr>
        <w:t xml:space="preserve">The pack is authored by a domain expert. A clinician authors the medical intake pack. A social worker authors the crisis intervention pack. A lawyer authors the legal intake pack. The authorship competence is domain expertise — not software engineering.</w:t>
      </w:r>
    </w:p>
    <w:p>
      <w:pPr>
        <w:spacing w:after="160"/>
      </w:pPr>
      <w:r>
        <w:rPr>
          <w:rFonts w:ascii="Georgia" w:cs="Georgia" w:eastAsia="Georgia" w:hAnsi="Georgia"/>
          <w:color w:val="1E293B"/>
          <w:sz w:val="22"/>
          <w:szCs w:val="22"/>
        </w:rPr>
        <w:t xml:space="preserve">This is the first mechanical innovation of governed simulation: the governance layer is authored in natural language and is therefore directly readable by the domain it governs. A pediatrician can read the pediatric intake pack and verify that its routing rules reflect clinical standards. A compliance officer can read the compliance audit pack and verify that it follows the correct procedural sequence. You cannot do this with a fine-tuned model. You cannot do this with a prompt. You can do it with a pack.</w:t>
      </w:r>
    </w:p>
    <w:p>
      <w:pPr>
        <w:pBdr>
          <w:bottom w:val="single" w:color="E2E8F0" w:sz="2" w:space="1"/>
        </w:pBdr>
        <w:spacing w:after="320" w:before="320"/>
      </w:pPr>
    </w:p>
    <w:p>
      <w:pPr>
        <w:pStyle w:val="Heading2"/>
        <w:spacing w:after="120" w:before="360"/>
      </w:pPr>
      <w:r>
        <w:rPr>
          <w:rFonts w:ascii="Arial" w:cs="Arial" w:eastAsia="Arial" w:hAnsi="Arial"/>
          <w:b/>
          <w:bCs/>
          <w:color w:val="2563EB"/>
          <w:sz w:val="24"/>
          <w:szCs w:val="24"/>
        </w:rPr>
        <w:t xml:space="preserve">The Runtime — the execution environment</w:t>
      </w:r>
    </w:p>
    <w:p>
      <w:pPr>
        <w:spacing w:after="160"/>
      </w:pPr>
      <w:r>
        <w:rPr>
          <w:rFonts w:ascii="Georgia" w:cs="Georgia" w:eastAsia="Georgia" w:hAnsi="Georgia"/>
          <w:color w:val="1E293B"/>
          <w:sz w:val="22"/>
          <w:szCs w:val="22"/>
        </w:rPr>
        <w:t xml:space="preserve">The runtime is the engine that interprets the pack and manages the session.</w:t>
      </w:r>
    </w:p>
    <w:p>
      <w:pPr>
        <w:spacing w:after="160"/>
      </w:pPr>
      <w:r>
        <w:rPr>
          <w:rFonts w:ascii="Georgia" w:cs="Georgia" w:eastAsia="Georgia" w:hAnsi="Georgia"/>
          <w:color w:val="1E293B"/>
          <w:sz w:val="22"/>
          <w:szCs w:val="22"/>
        </w:rPr>
        <w:t xml:space="preserve">When a session starts, the runtime loads the pack manifest, constructs the system context that the AI model will operate within, initializes the session state, and begins the conversation loop. As the session runs, the runtime tracks which required fields have been captured, monitors for routing rule conditions, and manages the session lifecycle — start, active, complete.</w:t>
      </w:r>
    </w:p>
    <w:p>
      <w:pPr>
        <w:spacing w:after="160"/>
      </w:pPr>
      <w:r>
        <w:rPr>
          <w:rFonts w:ascii="Georgia" w:cs="Georgia" w:eastAsia="Georgia" w:hAnsi="Georgia"/>
          <w:color w:val="1E293B"/>
          <w:sz w:val="22"/>
          <w:szCs w:val="22"/>
        </w:rPr>
        <w:t xml:space="preserve">The runtime does not make decisions. The pack makes decisions. The runtime executes them.</w:t>
      </w:r>
    </w:p>
    <w:p>
      <w:pPr>
        <w:spacing w:after="160"/>
      </w:pPr>
      <w:r>
        <w:rPr>
          <w:rFonts w:ascii="Georgia" w:cs="Georgia" w:eastAsia="Georgia" w:hAnsi="Georgia"/>
          <w:color w:val="1E293B"/>
          <w:sz w:val="22"/>
          <w:szCs w:val="22"/>
        </w:rPr>
        <w:t xml:space="preserve">This distinction matters operationally. The runtime is generic — it can load any pack and run any simulation. The intelligence is in the pack. The runtime is infrastructure; the pack is product. This is why a library of 385 pack specifications can be built and deployed on a single runtime without modification to the execution environment.</w:t>
      </w:r>
    </w:p>
    <w:p>
      <w:pPr>
        <w:pBdr>
          <w:left w:val="single" w:color="2563EB" w:sz="12" w:space="12"/>
        </w:pBdr>
        <w:spacing w:after="240" w:before="240"/>
        <w:ind w:left="720" w:right="720"/>
      </w:pPr>
      <w:r>
        <w:rPr>
          <w:rFonts w:ascii="Georgia" w:cs="Georgia" w:eastAsia="Georgia" w:hAnsi="Georgia"/>
          <w:i/>
          <w:iCs/>
          <w:color w:val="2563EB"/>
          <w:sz w:val="24"/>
          <w:szCs w:val="24"/>
        </w:rPr>
        <w:t xml:space="preserve">The runtime is to the pack what a browser is to a webpage. The browser doesn't know what the page contains. It knows how to render HTML. The runtime doesn't know what the simulation governs. It knows how to execute manifests.</w:t>
      </w:r>
    </w:p>
    <w:p>
      <w:pPr>
        <w:pBdr>
          <w:bottom w:val="single" w:color="E2E8F0" w:sz="2" w:space="1"/>
        </w:pBdr>
        <w:spacing w:after="320" w:before="320"/>
      </w:pPr>
    </w:p>
    <w:p>
      <w:pPr>
        <w:pStyle w:val="Heading2"/>
        <w:spacing w:after="120" w:before="360"/>
      </w:pPr>
      <w:r>
        <w:rPr>
          <w:rFonts w:ascii="Arial" w:cs="Arial" w:eastAsia="Arial" w:hAnsi="Arial"/>
          <w:b/>
          <w:bCs/>
          <w:color w:val="2563EB"/>
          <w:sz w:val="24"/>
          <w:szCs w:val="24"/>
        </w:rPr>
        <w:t xml:space="preserve">The Model — AI as a service</w:t>
      </w:r>
    </w:p>
    <w:p>
      <w:pPr>
        <w:spacing w:after="160"/>
      </w:pPr>
      <w:r>
        <w:rPr>
          <w:rFonts w:ascii="Georgia" w:cs="Georgia" w:eastAsia="Georgia" w:hAnsi="Georgia"/>
          <w:color w:val="1E293B"/>
          <w:sz w:val="22"/>
          <w:szCs w:val="22"/>
        </w:rPr>
        <w:t xml:space="preserve">The language model is the renderer. It is not the simulation.</w:t>
      </w:r>
    </w:p>
    <w:p>
      <w:pPr>
        <w:spacing w:after="160"/>
      </w:pPr>
      <w:r>
        <w:rPr>
          <w:rFonts w:ascii="Georgia" w:cs="Georgia" w:eastAsia="Georgia" w:hAnsi="Georgia"/>
          <w:color w:val="1E293B"/>
          <w:sz w:val="22"/>
          <w:szCs w:val="22"/>
        </w:rPr>
        <w:t xml:space="preserve">This is the mechanical claim that most clearly distinguishes governed simulation from what the industry currently calls AI agents, AI assistants, or AI-powered tools. In those framings, the model is the product. Its outputs are the deliverable. Its behavior is what is being managed, evaluated, and improved.</w:t>
      </w:r>
    </w:p>
    <w:p>
      <w:pPr>
        <w:spacing w:after="160"/>
      </w:pPr>
      <w:r>
        <w:rPr>
          <w:rFonts w:ascii="Georgia" w:cs="Georgia" w:eastAsia="Georgia" w:hAnsi="Georgia"/>
          <w:color w:val="1E293B"/>
          <w:sz w:val="22"/>
          <w:szCs w:val="22"/>
        </w:rPr>
        <w:t xml:space="preserve">In a governed simulation, the model is infrastructure. It interprets the governance layer and renders the session outputs. It produces the natural language surface of the interaction — the questions, the responses, the summaries. But what it asks, what it captures, when it routes, and when it stops are all determined by the pack.</w:t>
      </w:r>
    </w:p>
    <w:p>
      <w:pPr>
        <w:spacing w:after="160"/>
      </w:pPr>
      <w:r>
        <w:rPr>
          <w:rFonts w:ascii="Georgia" w:cs="Georgia" w:eastAsia="Georgia" w:hAnsi="Georgia"/>
          <w:color w:val="1E293B"/>
          <w:sz w:val="22"/>
          <w:szCs w:val="22"/>
        </w:rPr>
        <w:t xml:space="preserve">The practical implications are significant:</w:t>
      </w:r>
    </w:p>
    <w:p>
      <w:pPr>
        <w:pStyle w:val="ListParagraph"/>
        <w:numPr>
          <w:ilvl w:val="0"/>
          <w:numId w:val="2"/>
        </w:numPr>
        <w:spacing w:after="80"/>
      </w:pPr>
      <w:r>
        <w:rPr>
          <w:rFonts w:ascii="Georgia" w:cs="Georgia" w:eastAsia="Georgia" w:hAnsi="Georgia"/>
          <w:b/>
          <w:bCs/>
          <w:color w:val="1E293B"/>
          <w:sz w:val="22"/>
          <w:szCs w:val="22"/>
        </w:rPr>
        <w:t xml:space="preserve">Model upgrades are free improvements. </w:t>
      </w:r>
      <w:r>
        <w:rPr>
          <w:rFonts w:ascii="Georgia" w:cs="Georgia" w:eastAsia="Georgia" w:hAnsi="Georgia"/>
          <w:color w:val="1E293B"/>
          <w:sz w:val="22"/>
          <w:szCs w:val="22"/>
        </w:rPr>
        <w:t xml:space="preserve">When a better model is released, every simulation running on that runtime gets smarter for free. The governance — the pack — is unchanged. The renderer improved.</w:t>
      </w:r>
    </w:p>
    <w:p>
      <w:pPr>
        <w:pStyle w:val="ListParagraph"/>
        <w:numPr>
          <w:ilvl w:val="0"/>
          <w:numId w:val="2"/>
        </w:numPr>
        <w:spacing w:after="80"/>
      </w:pPr>
      <w:r>
        <w:rPr>
          <w:rFonts w:ascii="Georgia" w:cs="Georgia" w:eastAsia="Georgia" w:hAnsi="Georgia"/>
          <w:b/>
          <w:bCs/>
          <w:color w:val="1E293B"/>
          <w:sz w:val="22"/>
          <w:szCs w:val="22"/>
        </w:rPr>
        <w:t xml:space="preserve">Model failures are bounded. </w:t>
      </w:r>
      <w:r>
        <w:rPr>
          <w:rFonts w:ascii="Georgia" w:cs="Georgia" w:eastAsia="Georgia" w:hAnsi="Georgia"/>
          <w:color w:val="1E293B"/>
          <w:sz w:val="22"/>
          <w:szCs w:val="22"/>
        </w:rPr>
        <w:t xml:space="preserve">If the model hallucinates or produces unexpected output, the pack's routing rules and completion criteria act as a governance floor. The simulation cannot produce outputs that violate its manifest.</w:t>
      </w:r>
    </w:p>
    <w:p>
      <w:pPr>
        <w:pStyle w:val="ListParagraph"/>
        <w:numPr>
          <w:ilvl w:val="0"/>
          <w:numId w:val="2"/>
        </w:numPr>
        <w:spacing w:after="80"/>
      </w:pPr>
      <w:r>
        <w:rPr>
          <w:rFonts w:ascii="Georgia" w:cs="Georgia" w:eastAsia="Georgia" w:hAnsi="Georgia"/>
          <w:b/>
          <w:bCs/>
          <w:color w:val="1E293B"/>
          <w:sz w:val="22"/>
          <w:szCs w:val="22"/>
        </w:rPr>
        <w:t xml:space="preserve">Model identity is irrelevant to simulation identity. </w:t>
      </w:r>
      <w:r>
        <w:rPr>
          <w:rFonts w:ascii="Georgia" w:cs="Georgia" w:eastAsia="Georgia" w:hAnsi="Georgia"/>
          <w:color w:val="1E293B"/>
          <w:sz w:val="22"/>
          <w:szCs w:val="22"/>
        </w:rPr>
        <w:t xml:space="preserve">The legal intake simulation running on Claude is the same simulation as the legal intake simulation running on Gemini or Llama — if and only if they are governed by the same pack. The governance is the invariant. The model is the variable.</w:t>
      </w:r>
    </w:p>
    <w:p>
      <w:pPr>
        <w:pStyle w:val="ListParagraph"/>
        <w:numPr>
          <w:ilvl w:val="0"/>
          <w:numId w:val="2"/>
        </w:numPr>
        <w:spacing w:after="160"/>
      </w:pPr>
      <w:r>
        <w:rPr>
          <w:rFonts w:ascii="Georgia" w:cs="Georgia" w:eastAsia="Georgia" w:hAnsi="Georgia"/>
          <w:b/>
          <w:bCs/>
          <w:color w:val="1E293B"/>
          <w:sz w:val="22"/>
          <w:szCs w:val="22"/>
        </w:rPr>
        <w:t xml:space="preserve">The moat is the library, not the model. </w:t>
      </w:r>
      <w:r>
        <w:rPr>
          <w:rFonts w:ascii="Georgia" w:cs="Georgia" w:eastAsia="Georgia" w:hAnsi="Georgia"/>
          <w:color w:val="1E293B"/>
          <w:sz w:val="22"/>
          <w:szCs w:val="22"/>
        </w:rPr>
        <w:t xml:space="preserve">Any player can access frontier models. No player has 385 governed simulation specifications across 34 professional and human domains — authored, versioned, and production-ready.</w:t>
      </w:r>
    </w:p>
    <w:p>
      <w:pPr>
        <w:spacing w:after="160"/>
      </w:pPr>
      <w:r>
        <w:rPr>
          <w:rFonts w:ascii="Georgia" w:cs="Georgia" w:eastAsia="Georgia" w:hAnsi="Georgia"/>
          <w:color w:val="1E293B"/>
          <w:sz w:val="22"/>
          <w:szCs w:val="22"/>
        </w:rPr>
        <w:t xml:space="preserve">AI is the execution layer of a governed simulation. It is necessary but not sufficient. It is infrastructure, not product. This is the correct framing for the current moment in AI development — and it is the framing that makes governed simulation a durable category rather than a features race.</w:t>
      </w:r>
    </w:p>
    <w:p>
      <w:pPr>
        <w:pBdr>
          <w:bottom w:val="single" w:color="E2E8F0" w:sz="2" w:space="1"/>
        </w:pBdr>
        <w:spacing w:after="320" w:before="320"/>
      </w:pPr>
    </w:p>
    <w:p>
      <w:pPr>
        <w:pStyle w:val="Heading2"/>
        <w:spacing w:after="120" w:before="360"/>
      </w:pPr>
      <w:r>
        <w:rPr>
          <w:rFonts w:ascii="Arial" w:cs="Arial" w:eastAsia="Arial" w:hAnsi="Arial"/>
          <w:b/>
          <w:bCs/>
          <w:color w:val="2563EB"/>
          <w:sz w:val="24"/>
          <w:szCs w:val="24"/>
        </w:rPr>
        <w:t xml:space="preserve">The Session — the live execution</w:t>
      </w:r>
    </w:p>
    <w:p>
      <w:pPr>
        <w:spacing w:after="160"/>
      </w:pPr>
      <w:r>
        <w:rPr>
          <w:rFonts w:ascii="Georgia" w:cs="Georgia" w:eastAsia="Georgia" w:hAnsi="Georgia"/>
          <w:color w:val="1E293B"/>
          <w:sz w:val="22"/>
          <w:szCs w:val="22"/>
        </w:rPr>
        <w:t xml:space="preserve">A session is a bounded, stateful, governed instance of a simulation running in real time.</w:t>
      </w:r>
    </w:p>
    <w:p>
      <w:pPr>
        <w:spacing w:after="160"/>
      </w:pPr>
      <w:r>
        <w:rPr>
          <w:rFonts w:ascii="Georgia" w:cs="Georgia" w:eastAsia="Georgia" w:hAnsi="Georgia"/>
          <w:color w:val="1E293B"/>
          <w:sz w:val="22"/>
          <w:szCs w:val="22"/>
        </w:rPr>
        <w:t xml:space="preserve">Sessions have four properties that distinguish them from ordinary AI conversations:</w:t>
      </w:r>
    </w:p>
    <w:p>
      <w:pPr>
        <w:pStyle w:val="ListParagraph"/>
        <w:numPr>
          <w:ilvl w:val="0"/>
          <w:numId w:val="2"/>
        </w:numPr>
        <w:spacing w:after="80"/>
      </w:pPr>
      <w:r>
        <w:rPr>
          <w:rFonts w:ascii="Georgia" w:cs="Georgia" w:eastAsia="Georgia" w:hAnsi="Georgia"/>
          <w:b/>
          <w:bCs/>
          <w:color w:val="1E293B"/>
          <w:sz w:val="22"/>
          <w:szCs w:val="22"/>
        </w:rPr>
        <w:t xml:space="preserve">Bounded scope. </w:t>
      </w:r>
      <w:r>
        <w:rPr>
          <w:rFonts w:ascii="Georgia" w:cs="Georgia" w:eastAsia="Georgia" w:hAnsi="Georgia"/>
          <w:color w:val="1E293B"/>
          <w:sz w:val="22"/>
          <w:szCs w:val="22"/>
        </w:rPr>
        <w:t xml:space="preserve">The session knows what it is trying to accomplish and what it is not permitted to do. It cannot drift outside its manifest.</w:t>
      </w:r>
    </w:p>
    <w:p>
      <w:pPr>
        <w:pStyle w:val="ListParagraph"/>
        <w:numPr>
          <w:ilvl w:val="0"/>
          <w:numId w:val="2"/>
        </w:numPr>
        <w:spacing w:after="80"/>
      </w:pPr>
      <w:r>
        <w:rPr>
          <w:rFonts w:ascii="Georgia" w:cs="Georgia" w:eastAsia="Georgia" w:hAnsi="Georgia"/>
          <w:b/>
          <w:bCs/>
          <w:color w:val="1E293B"/>
          <w:sz w:val="22"/>
          <w:szCs w:val="22"/>
        </w:rPr>
        <w:t xml:space="preserve">State tracking. </w:t>
      </w:r>
      <w:r>
        <w:rPr>
          <w:rFonts w:ascii="Georgia" w:cs="Georgia" w:eastAsia="Georgia" w:hAnsi="Georgia"/>
          <w:color w:val="1E293B"/>
          <w:sz w:val="22"/>
          <w:szCs w:val="22"/>
        </w:rPr>
        <w:t xml:space="preserve">The session tracks progress — which fields have been captured, which routing conditions have been evaluated, how many turns have elapsed.</w:t>
      </w:r>
    </w:p>
    <w:p>
      <w:pPr>
        <w:pStyle w:val="ListParagraph"/>
        <w:numPr>
          <w:ilvl w:val="0"/>
          <w:numId w:val="2"/>
        </w:numPr>
        <w:spacing w:after="80"/>
      </w:pPr>
      <w:r>
        <w:rPr>
          <w:rFonts w:ascii="Georgia" w:cs="Georgia" w:eastAsia="Georgia" w:hAnsi="Georgia"/>
          <w:b/>
          <w:bCs/>
          <w:color w:val="1E293B"/>
          <w:sz w:val="22"/>
          <w:szCs w:val="22"/>
        </w:rPr>
        <w:t xml:space="preserve">Completion criteria. </w:t>
      </w:r>
      <w:r>
        <w:rPr>
          <w:rFonts w:ascii="Georgia" w:cs="Georgia" w:eastAsia="Georgia" w:hAnsi="Georgia"/>
          <w:color w:val="1E293B"/>
          <w:sz w:val="22"/>
          <w:szCs w:val="22"/>
        </w:rPr>
        <w:t xml:space="preserve">The session does not end when the user runs out of things to say. It ends when the simulation's completion conditions are met — all required fields captured, all mandatory routes evaluated.</w:t>
      </w:r>
    </w:p>
    <w:p>
      <w:pPr>
        <w:pStyle w:val="ListParagraph"/>
        <w:numPr>
          <w:ilvl w:val="0"/>
          <w:numId w:val="2"/>
        </w:numPr>
        <w:spacing w:after="160"/>
      </w:pPr>
      <w:r>
        <w:rPr>
          <w:rFonts w:ascii="Georgia" w:cs="Georgia" w:eastAsia="Georgia" w:hAnsi="Georgia"/>
          <w:b/>
          <w:bCs/>
          <w:color w:val="1E293B"/>
          <w:sz w:val="22"/>
          <w:szCs w:val="22"/>
        </w:rPr>
        <w:t xml:space="preserve">Structured output. </w:t>
      </w:r>
      <w:r>
        <w:rPr>
          <w:rFonts w:ascii="Georgia" w:cs="Georgia" w:eastAsia="Georgia" w:hAnsi="Georgia"/>
          <w:color w:val="1E293B"/>
          <w:sz w:val="22"/>
          <w:szCs w:val="22"/>
        </w:rPr>
        <w:t xml:space="preserve">At completion, the session produces a typed deliverable — not a transcript, not a summary, but a structured artifact matching the pack's deliverable schema.</w:t>
      </w:r>
    </w:p>
    <w:p>
      <w:pPr>
        <w:spacing w:after="160"/>
      </w:pPr>
      <w:r>
        <w:rPr>
          <w:rFonts w:ascii="Georgia" w:cs="Georgia" w:eastAsia="Georgia" w:hAnsi="Georgia"/>
          <w:color w:val="1E293B"/>
          <w:sz w:val="22"/>
          <w:szCs w:val="22"/>
        </w:rPr>
        <w:t xml:space="preserve">Sessions are the unit of work in a governed simulation system. One session of the legal intake simulation produces one case intake profile. One session of the MBTI assessment produces one personality type profile. One session of the crisis intervention simulation produces one safety assessment with documented routing decisions. The session is to the governed simulation what the transaction is to a database — the atomic unit of meaningful work.</w:t>
      </w:r>
    </w:p>
    <w:p>
      <w:pPr>
        <w:pBdr>
          <w:bottom w:val="single" w:color="E2E8F0" w:sz="2" w:space="1"/>
        </w:pBdr>
        <w:spacing w:after="320" w:before="320"/>
      </w:pPr>
    </w:p>
    <w:p>
      <w:pPr>
        <w:pStyle w:val="Heading2"/>
        <w:spacing w:after="120" w:before="360"/>
      </w:pPr>
      <w:r>
        <w:rPr>
          <w:rFonts w:ascii="Arial" w:cs="Arial" w:eastAsia="Arial" w:hAnsi="Arial"/>
          <w:b/>
          <w:bCs/>
          <w:color w:val="2563EB"/>
          <w:sz w:val="24"/>
          <w:szCs w:val="24"/>
        </w:rPr>
        <w:t xml:space="preserve">The Vault — the output layer</w:t>
      </w:r>
    </w:p>
    <w:p>
      <w:pPr>
        <w:spacing w:after="160"/>
      </w:pPr>
      <w:r>
        <w:rPr>
          <w:rFonts w:ascii="Georgia" w:cs="Georgia" w:eastAsia="Georgia" w:hAnsi="Georgia"/>
          <w:color w:val="1E293B"/>
          <w:sz w:val="22"/>
          <w:szCs w:val="22"/>
        </w:rPr>
        <w:t xml:space="preserve">The Vault is where simulation output lives.</w:t>
      </w:r>
    </w:p>
    <w:p>
      <w:pPr>
        <w:spacing w:after="160"/>
      </w:pPr>
      <w:r>
        <w:rPr>
          <w:rFonts w:ascii="Georgia" w:cs="Georgia" w:eastAsia="Georgia" w:hAnsi="Georgia"/>
          <w:color w:val="1E293B"/>
          <w:sz w:val="22"/>
          <w:szCs w:val="22"/>
        </w:rPr>
        <w:t xml:space="preserve">Every session produces a Vault record. Each record is addressed across eight independent dimensions: pack (which simulation governed it), user (whose session it was), date (when it happened), type (what kind of deliverable it produced), fields (what structured data was captured), session (the unique session ID), manifest (which version of the pack governed it), and content (full-text semantic search across everything said).</w:t>
      </w:r>
    </w:p>
    <w:p>
      <w:pPr>
        <w:spacing w:after="160"/>
      </w:pPr>
      <w:r>
        <w:rPr>
          <w:rFonts w:ascii="Georgia" w:cs="Georgia" w:eastAsia="Georgia" w:hAnsi="Georgia"/>
          <w:color w:val="1E293B"/>
          <w:sz w:val="22"/>
          <w:szCs w:val="22"/>
        </w:rPr>
        <w:t xml:space="preserve">The eight-dimensional addressing is the mechanical expression of a simple principle: artifacts should be findable by any property of their origin, not just by where someone happened to file them. Traditional systems address by path. A document lives in a folder. The Vault makes path irrelevant — every record is findable by what it was, who made it, when, under what governance, and what it contains.</w:t>
      </w:r>
    </w:p>
    <w:p>
      <w:pPr>
        <w:spacing w:after="160"/>
      </w:pPr>
      <w:r>
        <w:rPr>
          <w:rFonts w:ascii="Georgia" w:cs="Georgia" w:eastAsia="Georgia" w:hAnsi="Georgia"/>
          <w:color w:val="1E293B"/>
          <w:sz w:val="22"/>
          <w:szCs w:val="22"/>
        </w:rPr>
        <w:t xml:space="preserve">The Vault is also the data layer of the governed simulation stack. At scale, the records it holds are a structured dataset of every interaction that ran through the system — professional, clinical, interpersonal, creative. This dataset is upstream of the data warehouse, not downstream. It is the source, not the sink.</w:t>
      </w:r>
    </w:p>
    <w:p>
      <w:pPr>
        <w:pBdr>
          <w:bottom w:val="single" w:color="E2E8F0" w:sz="2" w:space="1"/>
        </w:pBdr>
        <w:spacing w:after="320" w:before="320"/>
      </w:pPr>
    </w:p>
    <w:p>
      <w:pPr>
        <w:pStyle w:val="Heading2"/>
        <w:spacing w:after="120" w:before="360"/>
      </w:pPr>
      <w:r>
        <w:rPr>
          <w:rFonts w:ascii="Arial" w:cs="Arial" w:eastAsia="Arial" w:hAnsi="Arial"/>
          <w:b/>
          <w:bCs/>
          <w:color w:val="2563EB"/>
          <w:sz w:val="24"/>
          <w:szCs w:val="24"/>
        </w:rPr>
        <w:t xml:space="preserve">The Watcher — the meta-governance layer</w:t>
      </w:r>
    </w:p>
    <w:p>
      <w:pPr>
        <w:spacing w:after="160"/>
      </w:pPr>
      <w:r>
        <w:rPr>
          <w:rFonts w:ascii="Georgia" w:cs="Georgia" w:eastAsia="Georgia" w:hAnsi="Georgia"/>
          <w:color w:val="1E293B"/>
          <w:sz w:val="22"/>
          <w:szCs w:val="22"/>
        </w:rPr>
        <w:t xml:space="preserve">The Watcher is the automation layer that operates above sessions.</w:t>
      </w:r>
    </w:p>
    <w:p>
      <w:pPr>
        <w:spacing w:after="160"/>
      </w:pPr>
      <w:r>
        <w:rPr>
          <w:rFonts w:ascii="Georgia" w:cs="Georgia" w:eastAsia="Georgia" w:hAnsi="Georgia"/>
          <w:color w:val="1E293B"/>
          <w:sz w:val="22"/>
          <w:szCs w:val="22"/>
        </w:rPr>
        <w:t xml:space="preserve">Watcher rules are conditions that fire when sessions complete and trigger subsequent actions — launching the next pack in a workflow chain, notifying a reviewer, writing a summary to a manifest record, escalating based on session outcomes.</w:t>
      </w:r>
    </w:p>
    <w:p>
      <w:pPr>
        <w:spacing w:after="160"/>
      </w:pPr>
      <w:r>
        <w:rPr>
          <w:rFonts w:ascii="Georgia" w:cs="Georgia" w:eastAsia="Georgia" w:hAnsi="Georgia"/>
          <w:color w:val="1E293B"/>
          <w:sz w:val="22"/>
          <w:szCs w:val="22"/>
        </w:rPr>
        <w:t xml:space="preserve">The Watcher is what makes governed simulation an operating system rather than a collection of isolated sessions. It connects the intake pack to the conflict check pack to the engagement pack. It connects the crisis assessment to the follow-up care protocol. It connects the research intake to the IRB submission workflow. The session is atomic; the Watcher composes sessions into workflows.</w:t>
      </w:r>
    </w:p>
    <w:p>
      <w:pPr>
        <w:pBdr>
          <w:bottom w:val="single" w:color="E2E8F0" w:sz="2" w:space="1"/>
        </w:pBdr>
        <w:spacing w:after="320" w:before="320"/>
      </w:pPr>
    </w:p>
    <w:p>
      <w:pPr>
        <w:pStyle w:val="Heading1"/>
        <w:spacing w:after="160" w:before="560"/>
      </w:pPr>
      <w:r>
        <w:rPr>
          <w:rFonts w:ascii="Arial" w:cs="Arial" w:eastAsia="Arial" w:hAnsi="Arial"/>
          <w:b/>
          <w:bCs/>
          <w:color w:val="111827"/>
          <w:sz w:val="34"/>
          <w:szCs w:val="34"/>
        </w:rPr>
        <w:t xml:space="preserve">II. What Makes It Distinct From Just AI</w:t>
      </w:r>
    </w:p>
    <w:p>
      <w:pPr>
        <w:spacing w:after="160"/>
      </w:pPr>
      <w:r>
        <w:rPr>
          <w:rFonts w:ascii="Georgia" w:cs="Georgia" w:eastAsia="Georgia" w:hAnsi="Georgia"/>
          <w:color w:val="1E293B"/>
          <w:sz w:val="22"/>
          <w:szCs w:val="22"/>
        </w:rPr>
        <w:t xml:space="preserve">The question deserves a direct answer.</w:t>
      </w:r>
    </w:p>
    <w:p>
      <w:pPr>
        <w:spacing w:after="160"/>
      </w:pPr>
      <w:r>
        <w:rPr>
          <w:rFonts w:ascii="Georgia" w:cs="Georgia" w:eastAsia="Georgia" w:hAnsi="Georgia"/>
          <w:color w:val="1E293B"/>
          <w:sz w:val="22"/>
          <w:szCs w:val="22"/>
        </w:rPr>
        <w:t xml:space="preserve">A language model without a pack produces outputs. Those outputs may be useful. They may be accurate. But they are not governed. There is no manifest that defines what the model was authorized to do. There is no routing logic that ensured a dangerous disclosure was escalated. There is no deliverable schema that produced a typed, structured artifact. There is no Vault record that makes the session auditable. There is no completion criterion that ensured the required information was captured before the session ended.</w:t>
      </w:r>
    </w:p>
    <w:p>
      <w:pPr>
        <w:pBdr>
          <w:left w:val="single" w:color="2563EB" w:sz="12" w:space="12"/>
        </w:pBdr>
        <w:spacing w:after="240" w:before="240"/>
        <w:ind w:left="720" w:right="720"/>
      </w:pPr>
      <w:r>
        <w:rPr>
          <w:rFonts w:ascii="Georgia" w:cs="Georgia" w:eastAsia="Georgia" w:hAnsi="Georgia"/>
          <w:i/>
          <w:iCs/>
          <w:color w:val="2563EB"/>
          <w:sz w:val="24"/>
          <w:szCs w:val="24"/>
        </w:rPr>
        <w:t xml:space="preserve">Ungoverned AI produces responses. Governed simulation produces artifacts. The difference is accountability — to the domain, to the user, to the record.</w:t>
      </w:r>
    </w:p>
    <w:p>
      <w:pPr>
        <w:spacing w:after="160"/>
      </w:pPr>
      <w:r>
        <w:rPr>
          <w:rFonts w:ascii="Georgia" w:cs="Georgia" w:eastAsia="Georgia" w:hAnsi="Georgia"/>
          <w:color w:val="1E293B"/>
          <w:sz w:val="22"/>
          <w:szCs w:val="22"/>
        </w:rPr>
        <w:t xml:space="preserve">Three specific distinctions define the boundary:</w:t>
      </w:r>
    </w:p>
    <w:p>
      <w:pPr>
        <w:spacing w:after="80" w:before="240"/>
      </w:pPr>
      <w:r>
        <w:rPr>
          <w:rFonts w:ascii="Arial" w:cs="Arial" w:eastAsia="Arial" w:hAnsi="Arial"/>
          <w:b/>
          <w:bCs/>
          <w:color w:val="1E293B"/>
          <w:sz w:val="21"/>
          <w:szCs w:val="21"/>
        </w:rPr>
        <w:t xml:space="preserve">Authorship vs. emergence</w:t>
      </w:r>
    </w:p>
    <w:p>
      <w:pPr>
        <w:spacing w:after="160"/>
      </w:pPr>
      <w:r>
        <w:rPr>
          <w:rFonts w:ascii="Georgia" w:cs="Georgia" w:eastAsia="Georgia" w:hAnsi="Georgia"/>
          <w:color w:val="1E293B"/>
          <w:sz w:val="22"/>
          <w:szCs w:val="22"/>
        </w:rPr>
        <w:t xml:space="preserve">In a governed simulation, behavior is authored. The routing rules were written by a domain expert who understands what needs to happen when certain conditions are met. The prohibited actions were specified by someone who knows what should not happen. The completion criteria were defined by someone who knows what done looks like.</w:t>
      </w:r>
    </w:p>
    <w:p>
      <w:pPr>
        <w:spacing w:after="160"/>
      </w:pPr>
      <w:r>
        <w:rPr>
          <w:rFonts w:ascii="Georgia" w:cs="Georgia" w:eastAsia="Georgia" w:hAnsi="Georgia"/>
          <w:color w:val="1E293B"/>
          <w:sz w:val="22"/>
          <w:szCs w:val="22"/>
        </w:rPr>
        <w:t xml:space="preserve">In ungoverned AI, behavior emerges from training. It may be excellent. It is not auditable. You cannot hand the training data to a regulator and ask them to verify that the model will handle a suicidal disclosure correctly. You can hand the crisis intervention pack to a clinical supervisor and ask them to verify it. The authored governance is the accountability instrument.</w:t>
      </w:r>
    </w:p>
    <w:p>
      <w:pPr>
        <w:spacing w:after="80" w:before="240"/>
      </w:pPr>
      <w:r>
        <w:rPr>
          <w:rFonts w:ascii="Arial" w:cs="Arial" w:eastAsia="Arial" w:hAnsi="Arial"/>
          <w:b/>
          <w:bCs/>
          <w:color w:val="1E293B"/>
          <w:sz w:val="21"/>
          <w:szCs w:val="21"/>
        </w:rPr>
        <w:t xml:space="preserve">Bounded scope vs. unbounded capability</w:t>
      </w:r>
    </w:p>
    <w:p>
      <w:pPr>
        <w:spacing w:after="160"/>
      </w:pPr>
      <w:r>
        <w:rPr>
          <w:rFonts w:ascii="Georgia" w:cs="Georgia" w:eastAsia="Georgia" w:hAnsi="Georgia"/>
          <w:color w:val="1E293B"/>
          <w:sz w:val="22"/>
          <w:szCs w:val="22"/>
        </w:rPr>
        <w:t xml:space="preserve">A governed simulation operates within the scope of its manifest. This is not a limitation — it is the feature. The legal intake pack does not give legal advice. It cannot. The prohibited actions list makes this explicit and enforces it in every session. A general-purpose AI assistant gives legal advice whenever asked, because nothing prevents it.</w:t>
      </w:r>
    </w:p>
    <w:p>
      <w:pPr>
        <w:spacing w:after="160"/>
      </w:pPr>
      <w:r>
        <w:rPr>
          <w:rFonts w:ascii="Georgia" w:cs="Georgia" w:eastAsia="Georgia" w:hAnsi="Georgia"/>
          <w:color w:val="1E293B"/>
          <w:sz w:val="22"/>
          <w:szCs w:val="22"/>
        </w:rPr>
        <w:t xml:space="preserve">The bounded scope is what makes governed simulation deployable in regulated contexts. A hospital cannot deploy an unbounded AI in a clinical workflow. It can deploy a governed simulation whose clinical decision rules are auditable, whose escalation conditions are unconditional, and whose outputs are typed and reviewable.</w:t>
      </w:r>
    </w:p>
    <w:p>
      <w:pPr>
        <w:spacing w:after="80" w:before="240"/>
      </w:pPr>
      <w:r>
        <w:rPr>
          <w:rFonts w:ascii="Arial" w:cs="Arial" w:eastAsia="Arial" w:hAnsi="Arial"/>
          <w:b/>
          <w:bCs/>
          <w:color w:val="1E293B"/>
          <w:sz w:val="21"/>
          <w:szCs w:val="21"/>
        </w:rPr>
        <w:t xml:space="preserve">Structured output vs. free-form response</w:t>
      </w:r>
    </w:p>
    <w:p>
      <w:pPr>
        <w:spacing w:after="160"/>
      </w:pPr>
      <w:r>
        <w:rPr>
          <w:rFonts w:ascii="Georgia" w:cs="Georgia" w:eastAsia="Georgia" w:hAnsi="Georgia"/>
          <w:color w:val="1E293B"/>
          <w:sz w:val="22"/>
          <w:szCs w:val="22"/>
        </w:rPr>
        <w:t xml:space="preserve">Every governed simulation session ends with a typed deliverable. The deliverable schema is part of the pack specification. It is predictable, consistent, and machine-readable. Every legal intake session produces a case intake profile with the same fields. Every clinical triage session produces a triage assessment with the same structure. Every personality assessment produces a typed profile with the same sections.</w:t>
      </w:r>
    </w:p>
    <w:p>
      <w:pPr>
        <w:spacing w:after="160"/>
      </w:pPr>
      <w:r>
        <w:rPr>
          <w:rFonts w:ascii="Georgia" w:cs="Georgia" w:eastAsia="Georgia" w:hAnsi="Georgia"/>
          <w:color w:val="1E293B"/>
          <w:sz w:val="22"/>
          <w:szCs w:val="22"/>
        </w:rPr>
        <w:t xml:space="preserve">This predictability is what makes the Vault possible and what makes the output useful downstream. You cannot build a workflow on top of free-form responses. You can build a workflow on top of structured artifacts from a governed simulation.</w:t>
      </w:r>
    </w:p>
    <w:p>
      <w:pPr>
        <w:pBdr>
          <w:bottom w:val="single" w:color="E2E8F0" w:sz="2" w:space="1"/>
        </w:pBdr>
        <w:spacing w:after="320" w:before="320"/>
      </w:pPr>
    </w:p>
    <w:p>
      <w:pPr>
        <w:pStyle w:val="Heading1"/>
        <w:spacing w:after="160" w:before="560"/>
      </w:pPr>
      <w:r>
        <w:rPr>
          <w:rFonts w:ascii="Arial" w:cs="Arial" w:eastAsia="Arial" w:hAnsi="Arial"/>
          <w:b/>
          <w:bCs/>
          <w:color w:val="111827"/>
          <w:sz w:val="34"/>
          <w:szCs w:val="34"/>
        </w:rPr>
        <w:t xml:space="preserve">III. Why Now</w:t>
      </w:r>
    </w:p>
    <w:p>
      <w:pPr>
        <w:spacing w:after="160"/>
      </w:pPr>
      <w:r>
        <w:rPr>
          <w:rFonts w:ascii="Georgia" w:cs="Georgia" w:eastAsia="Georgia" w:hAnsi="Georgia"/>
          <w:color w:val="1E293B"/>
          <w:sz w:val="22"/>
          <w:szCs w:val="22"/>
        </w:rPr>
        <w:t xml:space="preserve">Governed simulation as a mechanical category requires a specific technological condition: a system capable of interpreting natural language behavioral specifications as executable instructions, with sufficient reliability to be deployed in consequence-bearing contexts.</w:t>
      </w:r>
    </w:p>
    <w:p>
      <w:pPr>
        <w:spacing w:after="160"/>
      </w:pPr>
      <w:r>
        <w:rPr>
          <w:rFonts w:ascii="Georgia" w:cs="Georgia" w:eastAsia="Georgia" w:hAnsi="Georgia"/>
          <w:color w:val="1E293B"/>
          <w:sz w:val="22"/>
          <w:szCs w:val="22"/>
        </w:rPr>
        <w:t xml:space="preserve">That condition did not exist before 2023. Prior to frontier language models, the governance layer had to be translated into code before it could be executed. The translation step did three things, all of them bad:</w:t>
      </w:r>
    </w:p>
    <w:p>
      <w:pPr>
        <w:pStyle w:val="ListParagraph"/>
        <w:numPr>
          <w:ilvl w:val="0"/>
          <w:numId w:val="2"/>
        </w:numPr>
        <w:spacing w:after="80"/>
      </w:pPr>
      <w:r>
        <w:rPr>
          <w:rFonts w:ascii="Georgia" w:cs="Georgia" w:eastAsia="Georgia" w:hAnsi="Georgia"/>
          <w:color w:val="1E293B"/>
          <w:sz w:val="22"/>
          <w:szCs w:val="22"/>
        </w:rPr>
        <w:t xml:space="preserve">It made the governance opaque. Natural language rules became code that domain experts could not read.</w:t>
      </w:r>
    </w:p>
    <w:p>
      <w:pPr>
        <w:pStyle w:val="ListParagraph"/>
        <w:numPr>
          <w:ilvl w:val="0"/>
          <w:numId w:val="2"/>
        </w:numPr>
        <w:spacing w:after="80"/>
      </w:pPr>
      <w:r>
        <w:rPr>
          <w:rFonts w:ascii="Georgia" w:cs="Georgia" w:eastAsia="Georgia" w:hAnsi="Georgia"/>
          <w:color w:val="1E293B"/>
          <w:sz w:val="22"/>
          <w:szCs w:val="22"/>
        </w:rPr>
        <w:t xml:space="preserve">It made authorship inaccessible. Building a valid simulation of a clinical workflow required software engineers, not clinicians.</w:t>
      </w:r>
    </w:p>
    <w:p>
      <w:pPr>
        <w:pStyle w:val="ListParagraph"/>
        <w:numPr>
          <w:ilvl w:val="0"/>
          <w:numId w:val="2"/>
        </w:numPr>
        <w:spacing w:after="160"/>
      </w:pPr>
      <w:r>
        <w:rPr>
          <w:rFonts w:ascii="Georgia" w:cs="Georgia" w:eastAsia="Georgia" w:hAnsi="Georgia"/>
          <w:color w:val="1E293B"/>
          <w:sz w:val="22"/>
          <w:szCs w:val="22"/>
        </w:rPr>
        <w:t xml:space="preserve">It made the library impossible. You could not build 385 governed simulations across 34 domains in seven sessions, because each one required an engineering sprint.</w:t>
      </w:r>
    </w:p>
    <w:p>
      <w:pPr>
        <w:spacing w:after="160"/>
      </w:pPr>
      <w:r>
        <w:rPr>
          <w:rFonts w:ascii="Georgia" w:cs="Georgia" w:eastAsia="Georgia" w:hAnsi="Georgia"/>
          <w:color w:val="1E293B"/>
          <w:sz w:val="22"/>
          <w:szCs w:val="22"/>
        </w:rPr>
        <w:t xml:space="preserve">The language model dissolved the translation requirement. A clinician can now write the rules of a clinical intake in natural language and have them executed directly. The governance remains in the language of the domain. The model interprets and enacts it. The authorship barrier collapsed.</w:t>
      </w:r>
    </w:p>
    <w:p>
      <w:pPr>
        <w:spacing w:after="160"/>
      </w:pPr>
      <w:r>
        <w:rPr>
          <w:rFonts w:ascii="Georgia" w:cs="Georgia" w:eastAsia="Georgia" w:hAnsi="Georgia"/>
          <w:color w:val="1E293B"/>
          <w:sz w:val="22"/>
          <w:szCs w:val="22"/>
        </w:rPr>
        <w:t xml:space="preserve">Three converging conditions make this moment specifically the right time:</w:t>
      </w:r>
    </w:p>
    <w:p>
      <w:pPr>
        <w:spacing w:after="80" w:before="240"/>
      </w:pPr>
      <w:r>
        <w:rPr>
          <w:rFonts w:ascii="Arial" w:cs="Arial" w:eastAsia="Arial" w:hAnsi="Arial"/>
          <w:b/>
          <w:bCs/>
          <w:color w:val="1E293B"/>
          <w:sz w:val="21"/>
          <w:szCs w:val="21"/>
        </w:rPr>
        <w:t xml:space="preserve">The execution layer reached threshold</w:t>
      </w:r>
    </w:p>
    <w:p>
      <w:pPr>
        <w:spacing w:after="160"/>
      </w:pPr>
      <w:r>
        <w:rPr>
          <w:rFonts w:ascii="Georgia" w:cs="Georgia" w:eastAsia="Georgia" w:hAnsi="Georgia"/>
          <w:color w:val="1E293B"/>
          <w:sz w:val="22"/>
          <w:szCs w:val="22"/>
        </w:rPr>
        <w:t xml:space="preserve">Frontier language models can now reliably interpret natural language behavioral specifications as executable governance. Not perfectly — but reliably enough for production deployment in bounded, monitored, consequence-aware contexts. The threshold was crossed. Governed simulation became mechanically possible.</w:t>
      </w:r>
    </w:p>
    <w:p>
      <w:pPr>
        <w:spacing w:after="80" w:before="240"/>
      </w:pPr>
      <w:r>
        <w:rPr>
          <w:rFonts w:ascii="Arial" w:cs="Arial" w:eastAsia="Arial" w:hAnsi="Arial"/>
          <w:b/>
          <w:bCs/>
          <w:color w:val="1E293B"/>
          <w:sz w:val="21"/>
          <w:szCs w:val="21"/>
        </w:rPr>
        <w:t xml:space="preserve">The agent wave established the infrastructure expectation</w:t>
      </w:r>
    </w:p>
    <w:p>
      <w:pPr>
        <w:spacing w:after="160"/>
      </w:pPr>
      <w:r>
        <w:rPr>
          <w:rFonts w:ascii="Georgia" w:cs="Georgia" w:eastAsia="Georgia" w:hAnsi="Georgia"/>
          <w:color w:val="1E293B"/>
          <w:sz w:val="22"/>
          <w:szCs w:val="22"/>
        </w:rPr>
        <w:t xml:space="preserve">The AI agent moment of 2024-2026 established in the market's mind that AI can operate autonomously within defined scope. It built the infrastructure expectation: AI that does things, not just says things. Governed simulation arrives into that expectation with a more precise answer to the question agents raised but could not answer: what happens when the agent's scope is wrong, its outputs are unauditable, and its behavior in regulated contexts is not defensible? The governed simulation is the answer.</w:t>
      </w:r>
    </w:p>
    <w:p>
      <w:pPr>
        <w:spacing w:after="80" w:before="240"/>
      </w:pPr>
      <w:r>
        <w:rPr>
          <w:rFonts w:ascii="Arial" w:cs="Arial" w:eastAsia="Arial" w:hAnsi="Arial"/>
          <w:b/>
          <w:bCs/>
          <w:color w:val="1E293B"/>
          <w:sz w:val="21"/>
          <w:szCs w:val="21"/>
        </w:rPr>
        <w:t xml:space="preserve">The regulatory pressure is arriving</w:t>
      </w:r>
    </w:p>
    <w:p>
      <w:pPr>
        <w:spacing w:after="160"/>
      </w:pPr>
      <w:r>
        <w:rPr>
          <w:rFonts w:ascii="Georgia" w:cs="Georgia" w:eastAsia="Georgia" w:hAnsi="Georgia"/>
          <w:color w:val="1E293B"/>
          <w:sz w:val="22"/>
          <w:szCs w:val="22"/>
        </w:rPr>
        <w:t xml:space="preserve">Healthcare, legal, financial, and government AI deployments are facing increasing regulatory scrutiny. The question regulators are starting to ask — what governed the AI's behavior, how was that governance specified, can you demonstrate that it was followed — is exactly the question governed simulation answers. The pack is the governance artifact. The Vault is the audit trail. The timing is not coincidental.</w:t>
      </w:r>
    </w:p>
    <w:p>
      <w:pPr>
        <w:pBdr>
          <w:bottom w:val="single" w:color="E2E8F0" w:sz="2" w:space="1"/>
        </w:pBdr>
        <w:spacing w:after="320" w:before="320"/>
      </w:pPr>
    </w:p>
    <w:p>
      <w:pPr>
        <w:pStyle w:val="Heading1"/>
        <w:spacing w:after="160" w:before="560"/>
      </w:pPr>
      <w:r>
        <w:rPr>
          <w:rFonts w:ascii="Arial" w:cs="Arial" w:eastAsia="Arial" w:hAnsi="Arial"/>
          <w:b/>
          <w:bCs/>
          <w:color w:val="111827"/>
          <w:sz w:val="34"/>
          <w:szCs w:val="34"/>
        </w:rPr>
        <w:t xml:space="preserve">IV. Why TMOS13 Leads</w:t>
      </w:r>
    </w:p>
    <w:p>
      <w:pPr>
        <w:spacing w:after="160"/>
      </w:pPr>
      <w:r>
        <w:rPr>
          <w:rFonts w:ascii="Georgia" w:cs="Georgia" w:eastAsia="Georgia" w:hAnsi="Georgia"/>
          <w:color w:val="1E293B"/>
          <w:sz w:val="22"/>
          <w:szCs w:val="22"/>
        </w:rPr>
        <w:t xml:space="preserve">Three things position TMOS13 to lead the governed simulation wave rather than follow it.</w:t>
      </w:r>
    </w:p>
    <w:p>
      <w:pPr>
        <w:pStyle w:val="Heading2"/>
        <w:spacing w:after="120" w:before="360"/>
      </w:pPr>
      <w:r>
        <w:rPr>
          <w:rFonts w:ascii="Arial" w:cs="Arial" w:eastAsia="Arial" w:hAnsi="Arial"/>
          <w:b/>
          <w:bCs/>
          <w:color w:val="2563EB"/>
          <w:sz w:val="24"/>
          <w:szCs w:val="24"/>
        </w:rPr>
        <w:t xml:space="preserve">The library is the moat</w:t>
      </w:r>
    </w:p>
    <w:p>
      <w:pPr>
        <w:spacing w:after="160"/>
      </w:pPr>
      <w:r>
        <w:rPr>
          <w:rFonts w:ascii="Georgia" w:cs="Georgia" w:eastAsia="Georgia" w:hAnsi="Georgia"/>
          <w:color w:val="1E293B"/>
          <w:sz w:val="22"/>
          <w:szCs w:val="22"/>
        </w:rPr>
        <w:t xml:space="preserve">385 governed simulation specifications across 34 professional and human domains. Built in seven sessions. Tagged as Protocol Library v1.0.</w:t>
      </w:r>
    </w:p>
    <w:p>
      <w:pPr>
        <w:spacing w:after="160"/>
      </w:pPr>
      <w:r>
        <w:rPr>
          <w:rFonts w:ascii="Georgia" w:cs="Georgia" w:eastAsia="Georgia" w:hAnsi="Georgia"/>
          <w:color w:val="1E293B"/>
          <w:sz w:val="22"/>
          <w:szCs w:val="22"/>
        </w:rPr>
        <w:t xml:space="preserve">This is not a technology advantage — technology advantages erode. It is a library advantage, and library advantages compound. Each pack in the library is the distilled governance rules of a professional domain, authored from domain expertise, verified against domain standards, and production-ready. The 385 packs represent hundreds of hours of domain authorship that cannot be replicated by downloading a model or copying an API.</w:t>
      </w:r>
    </w:p>
    <w:p>
      <w:pPr>
        <w:spacing w:after="160"/>
      </w:pPr>
      <w:r>
        <w:rPr>
          <w:rFonts w:ascii="Georgia" w:cs="Georgia" w:eastAsia="Georgia" w:hAnsi="Georgia"/>
          <w:color w:val="1E293B"/>
          <w:sz w:val="22"/>
          <w:szCs w:val="22"/>
        </w:rPr>
        <w:t xml:space="preserve">The Human Library Map extends this advantage into the full territory of human interactive experience — 270 additional packs covering the intimate, relational, temporal, exploratory, and embodied dimensions of human life that the professional library does not reach. The moat widens with every sprint.</w:t>
      </w:r>
    </w:p>
    <w:p>
      <w:pPr>
        <w:pStyle w:val="Heading2"/>
        <w:spacing w:after="120" w:before="360"/>
      </w:pPr>
      <w:r>
        <w:rPr>
          <w:rFonts w:ascii="Arial" w:cs="Arial" w:eastAsia="Arial" w:hAnsi="Arial"/>
          <w:b/>
          <w:bCs/>
          <w:color w:val="2563EB"/>
          <w:sz w:val="24"/>
          <w:szCs w:val="24"/>
        </w:rPr>
        <w:t xml:space="preserve">The framework is published and coherent</w:t>
      </w:r>
    </w:p>
    <w:p>
      <w:pPr>
        <w:spacing w:after="160"/>
      </w:pPr>
      <w:r>
        <w:rPr>
          <w:rFonts w:ascii="Georgia" w:cs="Georgia" w:eastAsia="Georgia" w:hAnsi="Georgia"/>
          <w:color w:val="1E293B"/>
          <w:sz w:val="22"/>
          <w:szCs w:val="22"/>
        </w:rPr>
        <w:t xml:space="preserve">The Invariant Layer establishes the theoretical foundation: what a simulation is, why governance is primary, how the inversion principle connects the substrate to the surface, what the three axes of simulation variation are. The Human Library Map establishes the territory: every distinct category of human interactive experience, mapped from first principles, ready to be authored.</w:t>
      </w:r>
    </w:p>
    <w:p>
      <w:pPr>
        <w:spacing w:after="160"/>
      </w:pPr>
      <w:r>
        <w:rPr>
          <w:rFonts w:ascii="Georgia" w:cs="Georgia" w:eastAsia="Georgia" w:hAnsi="Georgia"/>
          <w:color w:val="1E293B"/>
          <w:sz w:val="22"/>
          <w:szCs w:val="22"/>
        </w:rPr>
        <w:t xml:space="preserve">These documents do not exist as marketing assets. They exist as intellectual infrastructure. When the category of governed simulation becomes mainstream — and it will — TMOS13 will have been the first organization to define it rigorously, publish the definition, and build a library demonstrating it at scale.</w:t>
      </w:r>
    </w:p>
    <w:p>
      <w:pPr>
        <w:pStyle w:val="Heading2"/>
        <w:spacing w:after="120" w:before="360"/>
      </w:pPr>
      <w:r>
        <w:rPr>
          <w:rFonts w:ascii="Arial" w:cs="Arial" w:eastAsia="Arial" w:hAnsi="Arial"/>
          <w:b/>
          <w:bCs/>
          <w:color w:val="2563EB"/>
          <w:sz w:val="24"/>
          <w:szCs w:val="24"/>
        </w:rPr>
        <w:t xml:space="preserve">The term is unoccupied</w:t>
      </w:r>
    </w:p>
    <w:p>
      <w:pPr>
        <w:spacing w:after="160"/>
      </w:pPr>
      <w:r>
        <w:rPr>
          <w:rFonts w:ascii="Georgia" w:cs="Georgia" w:eastAsia="Georgia" w:hAnsi="Georgia"/>
          <w:b/>
          <w:bCs/>
          <w:color w:val="1E293B"/>
          <w:sz w:val="22"/>
          <w:szCs w:val="22"/>
        </w:rPr>
        <w:t xml:space="preserve">Governed simulation </w:t>
      </w:r>
      <w:r>
        <w:rPr>
          <w:rFonts w:ascii="Georgia" w:cs="Georgia" w:eastAsia="Georgia" w:hAnsi="Georgia"/>
          <w:color w:val="1E293B"/>
          <w:sz w:val="22"/>
          <w:szCs w:val="22"/>
        </w:rPr>
        <w:t xml:space="preserve">is an uncoined term.</w:t>
      </w:r>
    </w:p>
    <w:p>
      <w:pPr>
        <w:spacing w:after="160"/>
      </w:pPr>
      <w:r>
        <w:rPr>
          <w:rFonts w:ascii="Georgia" w:cs="Georgia" w:eastAsia="Georgia" w:hAnsi="Georgia"/>
          <w:color w:val="1E293B"/>
          <w:sz w:val="22"/>
          <w:szCs w:val="22"/>
        </w:rPr>
        <w:t xml:space="preserve">AI is oversaturated. Agents is contested. Large language models is technical. Chatbots is pejorative. Simulations is misunderstood.</w:t>
      </w:r>
    </w:p>
    <w:p>
      <w:pPr>
        <w:spacing w:after="160"/>
      </w:pPr>
      <w:r>
        <w:rPr>
          <w:rFonts w:ascii="Georgia" w:cs="Georgia" w:eastAsia="Georgia" w:hAnsi="Georgia"/>
          <w:color w:val="1E293B"/>
          <w:sz w:val="22"/>
          <w:szCs w:val="22"/>
        </w:rPr>
        <w:t xml:space="preserve">Governed simulation is precise, honest, and available. It foregrounds the governance — the thing that makes it safe, auditable, and deployable in regulated contexts. It signals the simulation architecture — the thing that makes it a category rather than a feature. It distinguishes itself from AI by emphasizing what AI alone cannot provide.</w:t>
      </w:r>
    </w:p>
    <w:p>
      <w:pPr>
        <w:spacing w:after="160"/>
      </w:pPr>
      <w:r>
        <w:rPr>
          <w:rFonts w:ascii="Georgia" w:cs="Georgia" w:eastAsia="Georgia" w:hAnsi="Georgia"/>
          <w:color w:val="1E293B"/>
          <w:sz w:val="22"/>
          <w:szCs w:val="22"/>
        </w:rPr>
        <w:t xml:space="preserve">Coining a term at the right moment is a strategic act. The organizations that coined cloud computing, the app store, and the API economy defined the frame within which everyone else competed. Governed simulation is the frame for the next wave. TMOS13 is positioned to own it.</w:t>
      </w:r>
    </w:p>
    <w:p>
      <w:pPr>
        <w:pBdr>
          <w:bottom w:val="single" w:color="E2E8F0" w:sz="2" w:space="1"/>
        </w:pBdr>
        <w:spacing w:after="320" w:before="320"/>
      </w:pPr>
    </w:p>
    <w:p>
      <w:pPr>
        <w:pStyle w:val="Heading1"/>
        <w:spacing w:after="160" w:before="560"/>
      </w:pPr>
      <w:r>
        <w:rPr>
          <w:rFonts w:ascii="Arial" w:cs="Arial" w:eastAsia="Arial" w:hAnsi="Arial"/>
          <w:b/>
          <w:bCs/>
          <w:color w:val="111827"/>
          <w:sz w:val="34"/>
          <w:szCs w:val="34"/>
        </w:rPr>
        <w:t xml:space="preserve">V. Deploy Yourself</w:t>
      </w:r>
    </w:p>
    <w:p>
      <w:pPr>
        <w:spacing w:after="160"/>
      </w:pPr>
      <w:r>
        <w:rPr>
          <w:rFonts w:ascii="Georgia" w:cs="Georgia" w:eastAsia="Georgia" w:hAnsi="Georgia"/>
          <w:color w:val="1E293B"/>
          <w:sz w:val="22"/>
          <w:szCs w:val="22"/>
        </w:rPr>
        <w:t xml:space="preserve">The tagline Deploy Yourself has always been about something more specific than it sounds.</w:t>
      </w:r>
    </w:p>
    <w:p>
      <w:pPr>
        <w:spacing w:after="160"/>
      </w:pPr>
      <w:r>
        <w:rPr>
          <w:rFonts w:ascii="Georgia" w:cs="Georgia" w:eastAsia="Georgia" w:hAnsi="Georgia"/>
          <w:color w:val="1E293B"/>
          <w:sz w:val="22"/>
          <w:szCs w:val="22"/>
        </w:rPr>
        <w:t xml:space="preserve">It does not mean deploy a bot that sounds like you. It means deploy a governed simulation of your professional methodology — the rules you follow, the questions you ask, the decisions you make, the documents you produce — so that your expertise runs at scale, at any hour, without you being present.</w:t>
      </w:r>
    </w:p>
    <w:p>
      <w:pPr>
        <w:spacing w:after="160"/>
      </w:pPr>
      <w:r>
        <w:rPr>
          <w:rFonts w:ascii="Georgia" w:cs="Georgia" w:eastAsia="Georgia" w:hAnsi="Georgia"/>
          <w:color w:val="1E293B"/>
          <w:sz w:val="22"/>
          <w:szCs w:val="22"/>
        </w:rPr>
        <w:t xml:space="preserve">A governed simulation of your legal intake runs your intake. A governed simulation of your clinical triage runs your triage. A governed simulation of your coaching methodology runs your coaching. The simulation speaks your protocol. It captures your fields. It routes by your rules. It produces your deliverable.</w:t>
      </w:r>
    </w:p>
    <w:p>
      <w:pPr>
        <w:spacing w:after="160"/>
      </w:pPr>
      <w:r>
        <w:rPr>
          <w:rFonts w:ascii="Georgia" w:cs="Georgia" w:eastAsia="Georgia" w:hAnsi="Georgia"/>
          <w:color w:val="1E293B"/>
          <w:sz w:val="22"/>
          <w:szCs w:val="22"/>
        </w:rPr>
        <w:t xml:space="preserve">You are not using the AI. The AI is executing your governance. That is the distinction. That is the mechanic. That is why it works.</w:t>
      </w:r>
    </w:p>
    <w:p>
      <w:pPr>
        <w:pBdr>
          <w:left w:val="single" w:color="2563EB" w:sz="12" w:space="12"/>
        </w:pBdr>
        <w:spacing w:after="240" w:before="240"/>
        <w:ind w:left="720" w:right="720"/>
      </w:pPr>
      <w:r>
        <w:rPr>
          <w:rFonts w:ascii="Georgia" w:cs="Georgia" w:eastAsia="Georgia" w:hAnsi="Georgia"/>
          <w:i/>
          <w:iCs/>
          <w:color w:val="2563EB"/>
          <w:sz w:val="24"/>
          <w:szCs w:val="24"/>
        </w:rPr>
        <w:t xml:space="preserve">The model is the renderer. The governance is the simulation. You authored the governance. Therefore: you are the simulation.</w:t>
      </w:r>
    </w:p>
    <w:p>
      <w:pPr>
        <w:spacing w:after="160"/>
      </w:pPr>
      <w:r>
        <w:rPr>
          <w:rFonts w:ascii="Georgia" w:cs="Georgia" w:eastAsia="Georgia" w:hAnsi="Georgia"/>
          <w:color w:val="1E293B"/>
          <w:sz w:val="22"/>
          <w:szCs w:val="22"/>
        </w:rPr>
        <w:t xml:space="preserve">Deploy Yourself is not a tagline. It is a mechanical description of what governed simulation makes possible for the first time.</w:t>
      </w:r>
    </w:p>
    <w:p>
      <w:pPr>
        <w:pBdr>
          <w:bottom w:val="single" w:color="E2E8F0" w:sz="2" w:space="1"/>
        </w:pBdr>
        <w:spacing w:after="320" w:before="320"/>
      </w:pPr>
    </w:p>
    <w:p>
      <w:pPr>
        <w:spacing w:after="60" w:before="240"/>
        <w:jc w:val="left"/>
      </w:pPr>
      <w:r>
        <w:rPr>
          <w:rFonts w:ascii="Arial" w:cs="Arial" w:eastAsia="Arial" w:hAnsi="Arial"/>
          <w:color w:val="374151"/>
          <w:sz w:val="18"/>
          <w:szCs w:val="18"/>
        </w:rPr>
        <w:t xml:space="preserve">Robert C. Ventura</w:t>
      </w:r>
    </w:p>
    <w:p>
      <w:pPr>
        <w:spacing w:after="60"/>
      </w:pPr>
      <w:r>
        <w:rPr>
          <w:rFonts w:ascii="Arial" w:cs="Arial" w:eastAsia="Arial" w:hAnsi="Arial"/>
          <w:color w:val="9CA3AF"/>
          <w:sz w:val="16"/>
          <w:szCs w:val="16"/>
        </w:rPr>
        <w:t xml:space="preserve">Founder &amp; CEO, TMOS13, LLC  ·  Jersey City, NJ  ·  March 2026</w:t>
      </w:r>
    </w:p>
    <w:p>
      <w:r>
        <w:rPr>
          <w:rFonts w:ascii="Arial" w:cs="Arial" w:eastAsia="Arial" w:hAnsi="Arial"/>
          <w:i/>
          <w:iCs/>
          <w:color w:val="9CA3AF"/>
          <w:sz w:val="15"/>
          <w:szCs w:val="15"/>
        </w:rPr>
        <w:t xml:space="preserve">Companion documents: The Invariant Layer (March 2026)  ·  Every Distinct Category of Human Interactive Experience (March 2026)</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Arial" w:cs="Arial" w:eastAsia="Arial" w:hAnsi="Arial"/>
      <w:b/>
      <w:bCs/>
      <w:color w:val="111827"/>
      <w:sz w:val="34"/>
      <w:szCs w:val="34"/>
    </w:rPr>
  </w:style>
  <w:style w:type="paragraph" w:styleId="Heading2">
    <w:name w:val="Heading 2"/>
    <w:basedOn w:val="Normal"/>
    <w:next w:val="Normal"/>
    <w:qFormat/>
    <w:pPr>
      <w:spacing w:after="120" w:before="36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2026-03-17T19:39:21.339Z</dcterms:created>
  <dcterms:modified xsi:type="dcterms:W3CDTF">2026-03-17T19:39:21.340Z</dcterms:modified>
</cp:coreProperties>
</file>

<file path=docProps/custom.xml><?xml version="1.0" encoding="utf-8"?>
<Properties xmlns="http://schemas.openxmlformats.org/officeDocument/2006/custom-properties" xmlns:vt="http://schemas.openxmlformats.org/officeDocument/2006/docPropsVTypes"/>
</file>