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888888"/>
          <w:sz w:val="18"/>
          <w:szCs w:val="18"/>
        </w:rPr>
        <w:t xml:space="preserve">TMOS13, LLC</w:t>
      </w:r>
    </w:p>
    <w:p>
      <w:pPr>
        <w:pBdr>
          <w:bottom w:val="single" w:color="2563EB" w:sz="6"/>
        </w:pBdr>
        <w:spacing w:before="120" w:after="120"/>
      </w:pPr>
    </w:p>
    <w:p>
      <w:pPr>
        <w:spacing w:after="100"/>
      </w:pPr>
      <w:r>
        <w:t xml:space="preserve"/>
      </w:r>
    </w:p>
    <w:p>
      <w:pPr>
        <w:spacing w:after="120"/>
        <w:jc w:val="left"/>
      </w:pPr>
      <w:r>
        <w:rPr>
          <w:rFonts w:ascii="Arial" w:cs="Arial" w:eastAsia="Arial" w:hAnsi="Arial"/>
          <w:b/>
          <w:bCs/>
          <w:color w:val="0D1117"/>
          <w:sz w:val="52"/>
          <w:szCs w:val="52"/>
        </w:rPr>
        <w:t xml:space="preserve">The Normal Descends From The Weird</w:t>
      </w:r>
    </w:p>
    <w:p>
      <w:pPr>
        <w:spacing w:after="80"/>
        <w:jc w:val="left"/>
      </w:pPr>
      <w:r>
        <w:rPr>
          <w:rFonts w:ascii="Arial" w:cs="Arial" w:eastAsia="Arial" w:hAnsi="Arial"/>
          <w:i/>
          <w:iCs/>
          <w:color w:val="2C3E50"/>
          <w:sz w:val="24"/>
          <w:szCs w:val="24"/>
        </w:rPr>
        <w:t xml:space="preserve">Why exotic simulation frameworks map directly to enterprise value — and why graceful termination is the underlying logic of all human systems.</w:t>
      </w:r>
    </w:p>
    <w:p>
      <w:pPr>
        <w:spacing w:after="0"/>
        <w:jc w:val="left"/>
      </w:pPr>
      <w:r>
        <w:rPr>
          <w:rFonts w:ascii="Arial" w:cs="Arial" w:eastAsia="Arial" w:hAnsi="Arial"/>
          <w:color w:val="888888"/>
          <w:sz w:val="18"/>
          <w:szCs w:val="18"/>
        </w:rPr>
        <w:t xml:space="preserve">TMOS13, LLC  ·  March 2026  ·  Confidential</w:t>
      </w:r>
    </w:p>
    <w:p>
      <w:pPr>
        <w:pBdr>
          <w:bottom w:val="single" w:color="2563EB" w:sz="6"/>
        </w:pBdr>
        <w:spacing w:before="120" w:after="120"/>
      </w:pPr>
    </w:p>
    <w:p>
      <w:pPr>
        <w:spacing w:after="200"/>
      </w:pPr>
      <w:r>
        <w:t xml:space="preserve"/>
      </w:r>
    </w:p>
    <w:p>
      <w:pPr>
        <w:spacing w:before="320" w:after="120"/>
      </w:pPr>
      <w:r>
        <w:rPr>
          <w:rFonts w:ascii="Arial" w:cs="Arial" w:eastAsia="Arial" w:hAnsi="Arial"/>
          <w:b/>
          <w:bCs/>
          <w:color w:val="0D1117"/>
          <w:sz w:val="30"/>
          <w:szCs w:val="30"/>
        </w:rPr>
        <w:t xml:space="preserve">The Skeptic's Objection</w:t>
      </w:r>
    </w:p>
    <w:p>
      <w:pPr>
        <w:spacing w:before="0" w:after="160" w:line="360"/>
        <w:jc w:val="both"/>
      </w:pPr>
      <w:r>
        <w:rPr>
          <w:rFonts w:ascii="Arial" w:cs="Arial" w:eastAsia="Arial" w:hAnsi="Arial"/>
          <w:b w:val="false"/>
          <w:bCs w:val="false"/>
          <w:i w:val="false"/>
          <w:iCs w:val="false"/>
          <w:color w:val="2C3E50"/>
          <w:sz w:val="22"/>
          <w:szCs w:val="22"/>
        </w:rPr>
        <w:t xml:space="preserve">An investor looking at TMOS13 for the first time might reasonably ask: what does an oracle duck, a ten-archetype personality system, and a simulation of karmic trajectories have to do with enterprise software? The vocabulary is strange. The aesthetic is strange. The underlying claim — that all human systems are moving toward graceful termination and that this movement is measurable — sounds more like philosophy than product.</w:t>
      </w:r>
    </w:p>
    <w:p>
      <w:pPr>
        <w:spacing w:before="0" w:after="160" w:line="360"/>
        <w:jc w:val="both"/>
      </w:pPr>
      <w:r>
        <w:rPr>
          <w:rFonts w:ascii="Arial" w:cs="Arial" w:eastAsia="Arial" w:hAnsi="Arial"/>
          <w:b w:val="false"/>
          <w:bCs w:val="false"/>
          <w:i w:val="false"/>
          <w:iCs w:val="false"/>
          <w:color w:val="2C3E50"/>
          <w:sz w:val="22"/>
          <w:szCs w:val="22"/>
        </w:rPr>
        <w:t xml:space="preserve">This document is the answer to that objection. It is short because the answer is simple.</w:t>
      </w:r>
    </w:p>
    <w:p>
      <w:pPr>
        <w:spacing w:after="100"/>
      </w:pPr>
      <w:r>
        <w:t xml:space="preserve"/>
      </w:r>
    </w:p>
    <w:p>
      <w:pPr>
        <w:spacing w:before="320" w:after="120"/>
      </w:pPr>
      <w:r>
        <w:rPr>
          <w:rFonts w:ascii="Arial" w:cs="Arial" w:eastAsia="Arial" w:hAnsi="Arial"/>
          <w:b/>
          <w:bCs/>
          <w:color w:val="0D1117"/>
          <w:sz w:val="30"/>
          <w:szCs w:val="30"/>
        </w:rPr>
        <w:t xml:space="preserve">The Principle</w:t>
      </w:r>
    </w:p>
    <w:p>
      <w:pPr>
        <w:spacing w:before="0" w:after="160" w:line="360"/>
        <w:jc w:val="both"/>
      </w:pPr>
      <w:r>
        <w:rPr>
          <w:rFonts w:ascii="Arial" w:cs="Arial" w:eastAsia="Arial" w:hAnsi="Arial"/>
          <w:b w:val="false"/>
          <w:bCs w:val="false"/>
          <w:i w:val="false"/>
          <w:iCs w:val="false"/>
          <w:color w:val="2C3E50"/>
          <w:sz w:val="22"/>
          <w:szCs w:val="22"/>
        </w:rPr>
        <w:t xml:space="preserve">The normal descends from the weird. This is not a rhetorical flourish. It is a documented pattern in how new analytical frameworks move from fringe to mainstream.</w:t>
      </w:r>
    </w:p>
    <w:p>
      <w:pPr>
        <w:spacing w:before="0" w:after="160" w:line="360"/>
        <w:jc w:val="both"/>
      </w:pPr>
      <w:r>
        <w:rPr>
          <w:rFonts w:ascii="Arial" w:cs="Arial" w:eastAsia="Arial" w:hAnsi="Arial"/>
          <w:b w:val="false"/>
          <w:bCs w:val="false"/>
          <w:i w:val="false"/>
          <w:iCs w:val="false"/>
          <w:color w:val="2C3E50"/>
          <w:sz w:val="22"/>
          <w:szCs w:val="22"/>
        </w:rPr>
        <w:t xml:space="preserve">Gender theory looked like a colorful subfield of ethics until it became the most precise available framework for analyzing questions of identity, agency, and constructed selfhood — questions that show up in HR policy, brand strategy, healthcare, and law. The fringe was not a distraction from serious work. It was serious work done with unusual precision on problems the mainstream had not yet named.</w:t>
      </w:r>
    </w:p>
    <w:p>
      <w:pPr>
        <w:spacing w:before="0" w:after="160" w:line="360"/>
        <w:jc w:val="both"/>
      </w:pPr>
      <w:r>
        <w:rPr>
          <w:rFonts w:ascii="Arial" w:cs="Arial" w:eastAsia="Arial" w:hAnsi="Arial"/>
          <w:b w:val="false"/>
          <w:bCs w:val="false"/>
          <w:i w:val="false"/>
          <w:iCs w:val="false"/>
          <w:color w:val="2C3E50"/>
          <w:sz w:val="22"/>
          <w:szCs w:val="22"/>
        </w:rPr>
        <w:t xml:space="preserve">The same pattern holds across domains. Complexity theory started as a curiosity in physics and became the foundation of modern organizational design. Behavioral economics started as a critique of rational actor models and became standard practice in product design, public policy, and financial risk management. In each case, the framework that looked strange on entry turned out to be rigorous work on a problem everyone already had but could not yet measure.</w:t>
      </w:r>
    </w:p>
    <w:p>
      <w:pPr>
        <w:pBdr>
          <w:left w:val="single" w:color="2563EB" w:sz="12"/>
        </w:pBdr>
        <w:spacing w:before="240" w:after="240"/>
        <w:ind w:left="560"/>
        <w:jc w:val="left"/>
      </w:pPr>
      <w:r>
        <w:rPr>
          <w:rFonts w:ascii="Arial" w:cs="Arial" w:eastAsia="Arial" w:hAnsi="Arial"/>
          <w:b/>
          <w:bCs/>
          <w:color w:val="2563EB"/>
          <w:sz w:val="24"/>
          <w:szCs w:val="24"/>
        </w:rPr>
        <w:t xml:space="preserve">The fringe is not weird because it is wrong. It is weird because it is early.</w:t>
      </w:r>
    </w:p>
    <w:p>
      <w:pPr>
        <w:spacing w:before="320" w:after="120"/>
      </w:pPr>
      <w:r>
        <w:rPr>
          <w:rFonts w:ascii="Arial" w:cs="Arial" w:eastAsia="Arial" w:hAnsi="Arial"/>
          <w:b/>
          <w:bCs/>
          <w:color w:val="0D1117"/>
          <w:sz w:val="30"/>
          <w:szCs w:val="30"/>
        </w:rPr>
        <w:t xml:space="preserve">Graceful Termination</w:t>
      </w:r>
    </w:p>
    <w:p>
      <w:pPr>
        <w:spacing w:before="0" w:after="160" w:line="360"/>
        <w:jc w:val="both"/>
      </w:pPr>
      <w:r>
        <w:rPr>
          <w:rFonts w:ascii="Arial" w:cs="Arial" w:eastAsia="Arial" w:hAnsi="Arial"/>
          <w:b w:val="false"/>
          <w:bCs w:val="false"/>
          <w:i w:val="false"/>
          <w:iCs w:val="false"/>
          <w:color w:val="2C3E50"/>
          <w:sz w:val="22"/>
          <w:szCs w:val="22"/>
        </w:rPr>
        <w:t xml:space="preserve">The underlying claim of TMOS13 is this: every structured system — human, organizational, institutional — is moving toward a state where its work is complete and it can close. Call this graceful termination. The system that completes its purpose, releases its holdings, and exits cleanly is not a failure. It is the optimal outcome. The goal is not perpetuation. The goal is completion.</w:t>
      </w:r>
    </w:p>
    <w:p>
      <w:pPr>
        <w:spacing w:before="0" w:after="160" w:line="360"/>
        <w:jc w:val="both"/>
      </w:pPr>
      <w:r>
        <w:rPr>
          <w:rFonts w:ascii="Arial" w:cs="Arial" w:eastAsia="Arial" w:hAnsi="Arial"/>
          <w:b w:val="false"/>
          <w:bCs w:val="false"/>
          <w:i w:val="false"/>
          <w:iCs w:val="false"/>
          <w:color w:val="2C3E50"/>
          <w:sz w:val="22"/>
          <w:szCs w:val="22"/>
        </w:rPr>
        <w:t xml:space="preserve">This is not a mystical claim. It is an engineering claim dressed in unfamiliar vocabulary. Software engineers already understand it: a process that terminates gracefully is preferable to one that runs indefinitely or crashes mid-execution. The exit(0) is the goal. The kill -9 is the failure mode.</w:t>
      </w:r>
    </w:p>
    <w:p>
      <w:pPr>
        <w:spacing w:before="0" w:after="160" w:line="360"/>
        <w:jc w:val="both"/>
      </w:pPr>
      <w:r>
        <w:rPr>
          <w:rFonts w:ascii="Arial" w:cs="Arial" w:eastAsia="Arial" w:hAnsi="Arial"/>
          <w:b w:val="false"/>
          <w:bCs w:val="false"/>
          <w:i w:val="false"/>
          <w:iCs w:val="false"/>
          <w:color w:val="2C3E50"/>
          <w:sz w:val="22"/>
          <w:szCs w:val="22"/>
        </w:rPr>
        <w:t xml:space="preserve">Applied to human systems: an organization that has completed its purpose and can wind down gracefully is healthier than one that perpetuates itself past its usefulness. A relationship that closes well is not a failed relationship. A product that solves a problem and retires is not a failed product. The cultural bias toward perpetuation as success is a bias, not a law.</w:t>
      </w:r>
    </w:p>
    <w:p>
      <w:pPr>
        <w:spacing w:before="0" w:after="160" w:line="360"/>
        <w:jc w:val="both"/>
      </w:pPr>
      <w:r>
        <w:rPr>
          <w:rFonts w:ascii="Arial" w:cs="Arial" w:eastAsia="Arial" w:hAnsi="Arial"/>
          <w:b w:val="false"/>
          <w:bCs w:val="false"/>
          <w:i w:val="false"/>
          <w:iCs w:val="false"/>
          <w:color w:val="2C3E50"/>
          <w:sz w:val="22"/>
          <w:szCs w:val="22"/>
        </w:rPr>
        <w:t xml:space="preserve">The enterprise implication: if graceful termination is the goal, then the useful measurement is distance to termination — how much unresolved material remains, how high the inertia is, how much coherence has accumulated. That distance is not a judgment. It is a coordinate. And coordinates can be measured, tracked, and acted on.</w:t>
      </w:r>
    </w:p>
    <w:p>
      <w:pPr>
        <w:spacing w:after="100"/>
      </w:pPr>
      <w:r>
        <w:t xml:space="preserve"/>
      </w:r>
    </w:p>
    <w:p>
      <w:pPr>
        <w:spacing w:before="320" w:after="120"/>
      </w:pPr>
      <w:r>
        <w:rPr>
          <w:rFonts w:ascii="Arial" w:cs="Arial" w:eastAsia="Arial" w:hAnsi="Arial"/>
          <w:b/>
          <w:bCs/>
          <w:color w:val="0D1117"/>
          <w:sz w:val="30"/>
          <w:szCs w:val="30"/>
        </w:rPr>
        <w:t xml:space="preserve">Why The Weird Framework Is The Right Tool</w:t>
      </w:r>
    </w:p>
    <w:p>
      <w:pPr>
        <w:spacing w:before="0" w:after="160" w:line="360"/>
        <w:jc w:val="both"/>
      </w:pPr>
      <w:r>
        <w:rPr>
          <w:rFonts w:ascii="Arial" w:cs="Arial" w:eastAsia="Arial" w:hAnsi="Arial"/>
          <w:b w:val="false"/>
          <w:bCs w:val="false"/>
          <w:i w:val="false"/>
          <w:iCs w:val="false"/>
          <w:color w:val="2C3E50"/>
          <w:sz w:val="22"/>
          <w:szCs w:val="22"/>
        </w:rPr>
        <w:t xml:space="preserve">The archetypal system, the karmic coordinates, the simulation theatres — these are not decorative. They are the measurement instrument for the thing that mainstream enterprise tools do not measure: the interior dynamics of human systems under structured conditions.</w:t>
      </w:r>
    </w:p>
    <w:p>
      <w:pPr>
        <w:spacing w:before="0" w:after="160" w:line="360"/>
        <w:jc w:val="both"/>
      </w:pPr>
      <w:r>
        <w:rPr>
          <w:rFonts w:ascii="Arial" w:cs="Arial" w:eastAsia="Arial" w:hAnsi="Arial"/>
          <w:b w:val="false"/>
          <w:bCs w:val="false"/>
          <w:i w:val="false"/>
          <w:iCs w:val="false"/>
          <w:color w:val="2C3E50"/>
          <w:sz w:val="22"/>
          <w:szCs w:val="22"/>
        </w:rPr>
        <w:t xml:space="preserve">Every existing organizational diagnostic tool measures outputs — engagement scores, productivity metrics, retention rates, satisfaction surveys. These are lagging indicators. They tell you what already happened. They do not tell you where pressure is accumulating, who is approaching a transition, which interaction designs will land differently across different psychological profiles, or what the organizational equivalent of K(x) looks like before it manifests as attrition or crisis.</w:t>
      </w:r>
    </w:p>
    <w:p>
      <w:pPr>
        <w:spacing w:before="0" w:after="160" w:line="360"/>
        <w:jc w:val="both"/>
      </w:pPr>
      <w:r>
        <w:rPr>
          <w:rFonts w:ascii="Arial" w:cs="Arial" w:eastAsia="Arial" w:hAnsi="Arial"/>
          <w:b w:val="false"/>
          <w:bCs w:val="false"/>
          <w:i w:val="false"/>
          <w:iCs w:val="false"/>
          <w:color w:val="2C3E50"/>
          <w:sz w:val="22"/>
          <w:szCs w:val="22"/>
        </w:rPr>
        <w:t xml:space="preserve">The TMOS13 framework measures something different: the shape of the work that remains. Not as self-report. As a coordinate derived from structured interaction with a governed protocol library. The ten-archetype system is not a personality quiz. It is a coordinate system for locating a consciousness in the space of possible human experience states — and that location predicts, with measurable accuracy, how the same stimulus will produce different responses in different people.</w:t>
      </w:r>
    </w:p>
    <w:p>
      <w:pPr>
        <w:spacing w:before="0" w:after="160" w:line="360"/>
        <w:jc w:val="both"/>
      </w:pPr>
      <w:r>
        <w:rPr>
          <w:rFonts w:ascii="Arial" w:cs="Arial" w:eastAsia="Arial" w:hAnsi="Arial"/>
          <w:b w:val="false"/>
          <w:bCs w:val="false"/>
          <w:i w:val="false"/>
          <w:iCs w:val="false"/>
          <w:color w:val="2C3E50"/>
          <w:sz w:val="22"/>
          <w:szCs w:val="22"/>
        </w:rPr>
        <w:t xml:space="preserve">The Duck theatre — ten agents, same three questions, ten completely different conversations — is not a novelty. It is a demonstration that the coordinate system is working. The same interview instrument produces radically different sessions because the profiles are specific enough to generate contextually accurate responses. The divergence map is the product. You can now stress-test any interaction design against a realistic range of human situations before any real human has to sit through it.</w:t>
      </w:r>
    </w:p>
    <w:p>
      <w:pPr>
        <w:pBdr>
          <w:left w:val="single" w:color="2563EB" w:sz="12"/>
        </w:pBdr>
        <w:spacing w:before="240" w:after="240"/>
        <w:ind w:left="560"/>
        <w:jc w:val="left"/>
      </w:pPr>
      <w:r>
        <w:rPr>
          <w:rFonts w:ascii="Arial" w:cs="Arial" w:eastAsia="Arial" w:hAnsi="Arial"/>
          <w:b/>
          <w:bCs/>
          <w:color w:val="2563EB"/>
          <w:sz w:val="24"/>
          <w:szCs w:val="24"/>
        </w:rPr>
        <w:t xml:space="preserve">The same three questions. Ten completely different conversations. The divergence is the data.</w:t>
      </w:r>
    </w:p>
    <w:p>
      <w:pPr>
        <w:spacing w:before="320" w:after="120"/>
      </w:pPr>
      <w:r>
        <w:rPr>
          <w:rFonts w:ascii="Arial" w:cs="Arial" w:eastAsia="Arial" w:hAnsi="Arial"/>
          <w:b/>
          <w:bCs/>
          <w:color w:val="0D1117"/>
          <w:sz w:val="30"/>
          <w:szCs w:val="30"/>
        </w:rPr>
        <w:t xml:space="preserve">What This Means For Enterprise</w:t>
      </w:r>
    </w:p>
    <w:p>
      <w:pPr>
        <w:spacing w:before="0" w:after="160" w:line="360"/>
        <w:jc w:val="both"/>
      </w:pPr>
      <w:r>
        <w:rPr>
          <w:rFonts w:ascii="Arial" w:cs="Arial" w:eastAsia="Arial" w:hAnsi="Arial"/>
          <w:b w:val="false"/>
          <w:bCs w:val="false"/>
          <w:i w:val="false"/>
          <w:iCs w:val="false"/>
          <w:color w:val="2C3E50"/>
          <w:sz w:val="22"/>
          <w:szCs w:val="22"/>
        </w:rPr>
        <w:t xml:space="preserve">The practical applications are direct and do not require accepting any unusual philosophical premises. They only require accepting that human behavior varies systematically with context, profile, and accumulated experience — which is already standard in behavioral economics, clinical psychology, and organizational design.</w:t>
      </w:r>
    </w:p>
    <w:p>
      <w:pPr>
        <w:spacing w:before="0" w:after="160" w:line="360"/>
        <w:jc w:val="both"/>
      </w:pPr>
      <w:r>
        <w:rPr>
          <w:rFonts w:ascii="Arial" w:cs="Arial" w:eastAsia="Arial" w:hAnsi="Arial"/>
          <w:b w:val="false"/>
          <w:bCs w:val="false"/>
          <w:i w:val="false"/>
          <w:iCs w:val="false"/>
          <w:color w:val="2C3E50"/>
          <w:sz w:val="22"/>
          <w:szCs w:val="22"/>
        </w:rPr>
        <w:t xml:space="preserve">An HR department can run a simulation of how a new onboarding process will land across different employee profiles before rolling it out. A policy team can test how a communication will be received across different stakeholder populations. A product team can stress-test a feature against a realistic range of user situations. A management consultant can model where a restructuring will generate resistance and where it will find alignment. None of these require believing in archetypes. They require believing that people with different histories, stress levels, and orientations respond differently to the same situation — which is not a controversial claim.</w:t>
      </w:r>
    </w:p>
    <w:p>
      <w:pPr>
        <w:spacing w:before="0" w:after="160" w:line="360"/>
        <w:jc w:val="both"/>
      </w:pPr>
      <w:r>
        <w:rPr>
          <w:rFonts w:ascii="Arial" w:cs="Arial" w:eastAsia="Arial" w:hAnsi="Arial"/>
          <w:b w:val="false"/>
          <w:bCs w:val="false"/>
          <w:i w:val="false"/>
          <w:iCs w:val="false"/>
          <w:color w:val="2C3E50"/>
          <w:sz w:val="22"/>
          <w:szCs w:val="22"/>
        </w:rPr>
        <w:t xml:space="preserve">The simulation engine generates that variation systematically, at scale, without requiring real human participants. The protocol library provides the interaction types. The behavioral coordinate system provides the variation. The Vault provides the record. The analysis provides the divergence map.</w:t>
      </w:r>
    </w:p>
    <w:p>
      <w:pPr>
        <w:spacing w:before="0" w:after="160" w:line="360"/>
        <w:jc w:val="both"/>
      </w:pPr>
      <w:r>
        <w:rPr>
          <w:rFonts w:ascii="Arial" w:cs="Arial" w:eastAsia="Arial" w:hAnsi="Arial"/>
          <w:b w:val="false"/>
          <w:bCs w:val="false"/>
          <w:i w:val="false"/>
          <w:iCs w:val="false"/>
          <w:color w:val="2C3E50"/>
          <w:sz w:val="22"/>
          <w:szCs w:val="22"/>
        </w:rPr>
        <w:t xml:space="preserve">This is a new category of tool. Not AI as a feature added to an existing workflow. Not a chatbot with memory. A behavioral simulation engine that runs governed interactions against parameterized human profiles and produces structured analysis of how those interactions will land — before they land on anyone real.</w:t>
      </w:r>
    </w:p>
    <w:p>
      <w:pPr>
        <w:spacing w:after="100"/>
      </w:pPr>
      <w:r>
        <w:t xml:space="preserve"/>
      </w:r>
    </w:p>
    <w:p>
      <w:pPr>
        <w:spacing w:before="320" w:after="120"/>
      </w:pPr>
      <w:r>
        <w:rPr>
          <w:rFonts w:ascii="Arial" w:cs="Arial" w:eastAsia="Arial" w:hAnsi="Arial"/>
          <w:b/>
          <w:bCs/>
          <w:color w:val="0D1117"/>
          <w:sz w:val="30"/>
          <w:szCs w:val="30"/>
        </w:rPr>
        <w:t xml:space="preserve">The Investment Thesis, Plainly</w:t>
      </w:r>
    </w:p>
    <w:p>
      <w:pPr>
        <w:spacing w:before="0" w:after="160" w:line="360"/>
        <w:jc w:val="both"/>
      </w:pPr>
      <w:r>
        <w:rPr>
          <w:rFonts w:ascii="Arial" w:cs="Arial" w:eastAsia="Arial" w:hAnsi="Arial"/>
          <w:b w:val="false"/>
          <w:bCs w:val="false"/>
          <w:i w:val="false"/>
          <w:iCs w:val="false"/>
          <w:color w:val="2C3E50"/>
          <w:sz w:val="22"/>
          <w:szCs w:val="22"/>
        </w:rPr>
        <w:t xml:space="preserve">The library is the moat. 644 governed interaction types, built inductively from domain expertise, covering every professional domain and life situation. Nothing comparable exists. The simulation engine is the second product. The same infrastructure that runs a legal intake can run a civilization-scale behavioral model. The governance layer is the invariant — protocol decides behavior, model executes, Vault records. Swap the domain, the governance persists.</w:t>
      </w:r>
    </w:p>
    <w:p>
      <w:pPr>
        <w:spacing w:before="0" w:after="160" w:line="360"/>
        <w:jc w:val="both"/>
      </w:pPr>
      <w:r>
        <w:rPr>
          <w:rFonts w:ascii="Arial" w:cs="Arial" w:eastAsia="Arial" w:hAnsi="Arial"/>
          <w:b w:val="false"/>
          <w:bCs w:val="false"/>
          <w:i w:val="false"/>
          <w:iCs w:val="false"/>
          <w:color w:val="2C3E50"/>
          <w:sz w:val="22"/>
          <w:szCs w:val="22"/>
        </w:rPr>
        <w:t xml:space="preserve">The weird vocabulary will become normal vocabulary as the use cases accumulate. Behavioral coordinates will sound like what they are: a more precise version of the psychographic segmentation that marketing, HR, and product design already use. Graceful termination will sound like what it is: the optimal outcome for any structured system, measurable in advance rather than recognized in retrospect.</w:t>
      </w:r>
    </w:p>
    <w:p>
      <w:pPr>
        <w:spacing w:before="0" w:after="160" w:line="360"/>
        <w:jc w:val="both"/>
      </w:pPr>
      <w:r>
        <w:rPr>
          <w:rFonts w:ascii="Arial" w:cs="Arial" w:eastAsia="Arial" w:hAnsi="Arial"/>
          <w:b w:val="false"/>
          <w:bCs w:val="false"/>
          <w:i w:val="false"/>
          <w:iCs w:val="false"/>
          <w:color w:val="2C3E50"/>
          <w:sz w:val="22"/>
          <w:szCs w:val="22"/>
        </w:rPr>
        <w:t xml:space="preserve">The fringe is not a liability. It is a lead time advantage. The framework is already built. The first run already ran. The divergence is already measurable.</w:t>
      </w:r>
    </w:p>
    <w:p>
      <w:pPr>
        <w:spacing w:after="100"/>
      </w:pPr>
      <w:r>
        <w:t xml:space="preserve"/>
      </w:r>
    </w:p>
    <w:p>
      <w:pPr>
        <w:pBdr>
          <w:bottom w:val="single" w:color="2563EB" w:sz="6"/>
        </w:pBdr>
        <w:spacing w:before="120" w:after="120"/>
      </w:pPr>
    </w:p>
    <w:p>
      <w:pPr>
        <w:spacing w:after="100"/>
      </w:pPr>
      <w:r>
        <w:t xml:space="preserve"/>
      </w:r>
    </w:p>
    <w:p>
      <w:pPr>
        <w:jc w:val="center"/>
      </w:pPr>
      <w:r>
        <w:rPr>
          <w:rFonts w:ascii="Arial" w:cs="Arial" w:eastAsia="Arial" w:hAnsi="Arial"/>
          <w:color w:val="888888"/>
          <w:sz w:val="18"/>
          <w:szCs w:val="18"/>
        </w:rPr>
        <w:t xml:space="preserve">TMOS13, LLC  ·  rob@tmos13.ai  ·  tmos13.ai  ·  world13.ai</w:t>
      </w:r>
    </w:p>
    <w:p>
      <w:pPr>
        <w:spacing w:before="60"/>
        <w:jc w:val="center"/>
      </w:pPr>
      <w:r>
        <w:rPr>
          <w:rFonts w:ascii="Arial" w:cs="Arial" w:eastAsia="Arial" w:hAnsi="Arial"/>
          <w:i/>
          <w:iCs/>
          <w:color w:val="AAAAAA"/>
          <w:sz w:val="16"/>
          <w:szCs w:val="16"/>
        </w:rPr>
        <w:t xml:space="preserve">© 2026 TMOS13, LLC. Confidential. Not for distribution.</w:t>
      </w:r>
    </w:p>
    <w:sectPr>
      <w:footerReference w:type="default" r:id="rId6"/>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120"/>
      <w:jc w:val="center"/>
    </w:pPr>
    <w:r>
      <w:rPr>
        <w:rFonts w:ascii="Arial" w:cs="Arial" w:eastAsia="Arial" w:hAnsi="Arial"/>
        <w:color w:val="AAAAAA"/>
        <w:sz w:val="16"/>
        <w:szCs w:val="16"/>
      </w:rPr>
      <w:t xml:space="preserve">TMOS13, LLC  ·  Confidential  ·  2026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4"/>
      </w:pBdr>
      <w:spacing w:before="480" w:after="160"/>
    </w:pPr>
    <w:rPr>
      <w:rFonts w:ascii="Arial" w:cs="Arial" w:eastAsia="Arial" w:hAnsi="Arial"/>
      <w:b/>
      <w:bCs/>
      <w:color w:val="0D111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2026-03-25T12:10:32.125Z</dcterms:created>
  <dcterms:modified xsi:type="dcterms:W3CDTF">2026-03-25T12:10:32.126Z</dcterms:modified>
</cp:coreProperties>
</file>

<file path=docProps/custom.xml><?xml version="1.0" encoding="utf-8"?>
<Properties xmlns="http://schemas.openxmlformats.org/officeDocument/2006/custom-properties" xmlns:vt="http://schemas.openxmlformats.org/officeDocument/2006/docPropsVTypes"/>
</file>