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7E" w:rsidRDefault="00A26E7E" w:rsidP="00A26E7E">
      <w:pPr>
        <w:jc w:val="right"/>
      </w:pPr>
      <w:r>
        <w:t>Andrea Mooney</w:t>
      </w:r>
    </w:p>
    <w:p w:rsidR="00CE21F0" w:rsidRDefault="00CE21F0" w:rsidP="00A26E7E">
      <w:pPr>
        <w:jc w:val="center"/>
      </w:pPr>
      <w:r>
        <w:t>Whole Language Timeline</w:t>
      </w:r>
    </w:p>
    <w:tbl>
      <w:tblPr>
        <w:tblStyle w:val="TableGrid"/>
        <w:tblW w:w="0" w:type="auto"/>
        <w:tblInd w:w="360" w:type="dxa"/>
        <w:tblLook w:val="04A0"/>
      </w:tblPr>
      <w:tblGrid>
        <w:gridCol w:w="870"/>
        <w:gridCol w:w="2511"/>
        <w:gridCol w:w="5835"/>
      </w:tblGrid>
      <w:tr w:rsidR="00CE21F0" w:rsidTr="001F18D2">
        <w:tc>
          <w:tcPr>
            <w:tcW w:w="870" w:type="dxa"/>
          </w:tcPr>
          <w:p w:rsidR="00CE21F0" w:rsidRPr="006E3A6E" w:rsidRDefault="00CE21F0" w:rsidP="001F18D2">
            <w:pPr>
              <w:pStyle w:val="ListParagraph"/>
              <w:ind w:left="0"/>
              <w:rPr>
                <w:b/>
              </w:rPr>
            </w:pPr>
            <w:r w:rsidRPr="006E3A6E">
              <w:rPr>
                <w:b/>
              </w:rPr>
              <w:t>Year</w:t>
            </w:r>
          </w:p>
        </w:tc>
        <w:tc>
          <w:tcPr>
            <w:tcW w:w="2511" w:type="dxa"/>
          </w:tcPr>
          <w:p w:rsidR="00CE21F0" w:rsidRPr="006E3A6E" w:rsidRDefault="00CE21F0" w:rsidP="001F18D2">
            <w:pPr>
              <w:pStyle w:val="ListParagraph"/>
              <w:ind w:left="0"/>
              <w:rPr>
                <w:b/>
              </w:rPr>
            </w:pPr>
            <w:r w:rsidRPr="006E3A6E">
              <w:rPr>
                <w:b/>
              </w:rPr>
              <w:t>Event</w:t>
            </w:r>
          </w:p>
        </w:tc>
        <w:tc>
          <w:tcPr>
            <w:tcW w:w="5835" w:type="dxa"/>
          </w:tcPr>
          <w:p w:rsidR="00CE21F0" w:rsidRPr="006E3A6E" w:rsidRDefault="00CE21F0" w:rsidP="001F18D2">
            <w:pPr>
              <w:pStyle w:val="ListParagraph"/>
              <w:ind w:left="0"/>
              <w:rPr>
                <w:b/>
              </w:rPr>
            </w:pPr>
            <w:r w:rsidRPr="006E3A6E">
              <w:rPr>
                <w:b/>
              </w:rPr>
              <w:t>Significance</w:t>
            </w:r>
          </w:p>
        </w:tc>
      </w:tr>
      <w:tr w:rsidR="00CE21F0" w:rsidTr="001F18D2">
        <w:tc>
          <w:tcPr>
            <w:tcW w:w="870" w:type="dxa"/>
          </w:tcPr>
          <w:p w:rsidR="00CE21F0" w:rsidRDefault="00CE21F0" w:rsidP="001F18D2">
            <w:pPr>
              <w:pStyle w:val="ListParagraph"/>
              <w:ind w:left="0"/>
            </w:pPr>
            <w:r>
              <w:t>Pre- 1930s</w:t>
            </w:r>
          </w:p>
        </w:tc>
        <w:tc>
          <w:tcPr>
            <w:tcW w:w="2511" w:type="dxa"/>
          </w:tcPr>
          <w:p w:rsidR="00CE21F0" w:rsidRDefault="00CE21F0" w:rsidP="001F18D2">
            <w:pPr>
              <w:pStyle w:val="ListParagraph"/>
              <w:ind w:left="0"/>
            </w:pPr>
            <w:r>
              <w:t>Phonics by Mechanistic Approach</w:t>
            </w:r>
          </w:p>
        </w:tc>
        <w:tc>
          <w:tcPr>
            <w:tcW w:w="5835" w:type="dxa"/>
          </w:tcPr>
          <w:p w:rsidR="00CE21F0" w:rsidRDefault="00CE21F0" w:rsidP="001F18D2">
            <w:pPr>
              <w:pStyle w:val="ListParagraph"/>
              <w:ind w:left="0"/>
            </w:pPr>
            <w:r>
              <w:t>Teachers taught students to sound out words by learning rigid rules and procedures. (Walker, 2008)</w:t>
            </w:r>
          </w:p>
        </w:tc>
      </w:tr>
      <w:tr w:rsidR="00CE21F0" w:rsidTr="001F18D2">
        <w:tc>
          <w:tcPr>
            <w:tcW w:w="870" w:type="dxa"/>
          </w:tcPr>
          <w:p w:rsidR="00CE21F0" w:rsidRDefault="00CE21F0" w:rsidP="001F18D2">
            <w:pPr>
              <w:pStyle w:val="ListParagraph"/>
              <w:ind w:left="0"/>
            </w:pPr>
            <w:r>
              <w:t>1935-1939</w:t>
            </w:r>
          </w:p>
        </w:tc>
        <w:tc>
          <w:tcPr>
            <w:tcW w:w="2511" w:type="dxa"/>
          </w:tcPr>
          <w:p w:rsidR="00CE21F0" w:rsidRDefault="00CE21F0" w:rsidP="001F18D2">
            <w:pPr>
              <w:pStyle w:val="ListParagraph"/>
              <w:ind w:left="0"/>
            </w:pPr>
            <w:r>
              <w:t>Backlash to Phonics</w:t>
            </w:r>
          </w:p>
        </w:tc>
        <w:tc>
          <w:tcPr>
            <w:tcW w:w="5835" w:type="dxa"/>
          </w:tcPr>
          <w:p w:rsidR="00CE21F0" w:rsidRDefault="00CE21F0" w:rsidP="001F18D2">
            <w:pPr>
              <w:pStyle w:val="ListParagraph"/>
              <w:ind w:left="0"/>
            </w:pPr>
            <w:r>
              <w:t>“Scholars, publishers, and teachers banned phonics instruction” (Walker, 2008, p. 34).</w:t>
            </w:r>
          </w:p>
        </w:tc>
      </w:tr>
      <w:tr w:rsidR="00CE21F0" w:rsidTr="001F18D2">
        <w:tc>
          <w:tcPr>
            <w:tcW w:w="870" w:type="dxa"/>
          </w:tcPr>
          <w:p w:rsidR="00CE21F0" w:rsidRDefault="00CE21F0" w:rsidP="001F18D2">
            <w:pPr>
              <w:pStyle w:val="ListParagraph"/>
              <w:ind w:left="0"/>
            </w:pPr>
            <w:r>
              <w:t>1940s-1950s</w:t>
            </w:r>
          </w:p>
        </w:tc>
        <w:tc>
          <w:tcPr>
            <w:tcW w:w="2511" w:type="dxa"/>
          </w:tcPr>
          <w:p w:rsidR="00CE21F0" w:rsidRDefault="00CE21F0" w:rsidP="001F18D2">
            <w:pPr>
              <w:pStyle w:val="ListParagraph"/>
              <w:ind w:left="0"/>
            </w:pPr>
            <w:r>
              <w:t>Shift from Phonics to Whole Words</w:t>
            </w:r>
          </w:p>
        </w:tc>
        <w:tc>
          <w:tcPr>
            <w:tcW w:w="5835" w:type="dxa"/>
          </w:tcPr>
          <w:p w:rsidR="00CE21F0" w:rsidRDefault="00CE21F0" w:rsidP="00966CD3">
            <w:pPr>
              <w:pStyle w:val="ListParagraph"/>
              <w:ind w:left="0"/>
            </w:pPr>
            <w:r>
              <w:t xml:space="preserve">Phonics viewed as “outdated and intrinsically wrong” (Walker, 2008, p. 34). Whole words </w:t>
            </w:r>
            <w:r w:rsidR="00966CD3">
              <w:t>became</w:t>
            </w:r>
            <w:r>
              <w:t xml:space="preserve"> the predominant approach to teaching new words: Teachers provided an oral context and instructed students to look at the printed word on the chalkboard. Phonics used as a “last resort” (Walker, 2008, p. 34).</w:t>
            </w:r>
          </w:p>
        </w:tc>
      </w:tr>
      <w:tr w:rsidR="00CE21F0" w:rsidTr="001F18D2">
        <w:tc>
          <w:tcPr>
            <w:tcW w:w="870" w:type="dxa"/>
          </w:tcPr>
          <w:p w:rsidR="00CE21F0" w:rsidRDefault="00CE21F0" w:rsidP="001F18D2">
            <w:pPr>
              <w:pStyle w:val="ListParagraph"/>
              <w:ind w:left="0"/>
            </w:pPr>
            <w:r>
              <w:t>1950s</w:t>
            </w:r>
          </w:p>
        </w:tc>
        <w:tc>
          <w:tcPr>
            <w:tcW w:w="2511" w:type="dxa"/>
          </w:tcPr>
          <w:p w:rsidR="00CE21F0" w:rsidRDefault="00CE21F0" w:rsidP="001F18D2">
            <w:pPr>
              <w:pStyle w:val="ListParagraph"/>
              <w:ind w:left="0"/>
            </w:pPr>
            <w:r>
              <w:t>Word Perception</w:t>
            </w:r>
          </w:p>
          <w:p w:rsidR="00CE21F0" w:rsidRDefault="00CE21F0" w:rsidP="001F18D2">
            <w:pPr>
              <w:pStyle w:val="ListParagraph"/>
              <w:ind w:left="0"/>
            </w:pPr>
          </w:p>
          <w:p w:rsidR="00CE21F0" w:rsidRDefault="00CE21F0" w:rsidP="001F18D2">
            <w:pPr>
              <w:pStyle w:val="ListParagraph"/>
              <w:ind w:left="0"/>
            </w:pPr>
            <w:r>
              <w:t>Intrinsic Phonics Instruction</w:t>
            </w:r>
          </w:p>
        </w:tc>
        <w:tc>
          <w:tcPr>
            <w:tcW w:w="5835" w:type="dxa"/>
          </w:tcPr>
          <w:p w:rsidR="00CE21F0" w:rsidRDefault="00CE21F0" w:rsidP="001F18D2">
            <w:pPr>
              <w:pStyle w:val="ListParagraph"/>
              <w:ind w:left="0"/>
            </w:pPr>
            <w:r>
              <w:t>Gates (1951) argued that children should read naturally</w:t>
            </w:r>
            <w:r w:rsidR="000F03D8">
              <w:t>,</w:t>
            </w:r>
            <w:r>
              <w:t xml:space="preserve"> </w:t>
            </w:r>
            <w:r w:rsidR="000F03D8">
              <w:t>immediately</w:t>
            </w:r>
            <w:r>
              <w:t xml:space="preserve"> perceiv</w:t>
            </w:r>
            <w:r w:rsidR="000F03D8">
              <w:t>ing</w:t>
            </w:r>
            <w:r>
              <w:t xml:space="preserve"> words in the same way that adults do.</w:t>
            </w:r>
          </w:p>
          <w:p w:rsidR="00CE21F0" w:rsidRDefault="00CE21F0" w:rsidP="000F03D8">
            <w:pPr>
              <w:pStyle w:val="ListParagraph"/>
              <w:ind w:left="0"/>
            </w:pPr>
            <w:r>
              <w:t>Teachers used intrinsic phonics instruction to teach phonics in the context of meaningful reading. (Walker, 2008)</w:t>
            </w:r>
          </w:p>
        </w:tc>
      </w:tr>
      <w:tr w:rsidR="00CE21F0" w:rsidTr="001F18D2">
        <w:tc>
          <w:tcPr>
            <w:tcW w:w="870" w:type="dxa"/>
          </w:tcPr>
          <w:p w:rsidR="00CE21F0" w:rsidRDefault="00CE21F0" w:rsidP="001F18D2">
            <w:pPr>
              <w:pStyle w:val="ListParagraph"/>
              <w:ind w:left="0"/>
            </w:pPr>
            <w:r>
              <w:t>1955</w:t>
            </w:r>
          </w:p>
        </w:tc>
        <w:tc>
          <w:tcPr>
            <w:tcW w:w="2511" w:type="dxa"/>
          </w:tcPr>
          <w:p w:rsidR="00CE21F0" w:rsidRPr="003A66B1" w:rsidRDefault="00CE21F0" w:rsidP="001F18D2">
            <w:pPr>
              <w:pStyle w:val="ListParagraph"/>
              <w:ind w:left="0"/>
              <w:rPr>
                <w:i/>
              </w:rPr>
            </w:pPr>
            <w:r>
              <w:t xml:space="preserve">Flesch (1955) Published </w:t>
            </w:r>
            <w:r>
              <w:rPr>
                <w:i/>
              </w:rPr>
              <w:t>Why Johnny Can’t Read</w:t>
            </w:r>
          </w:p>
        </w:tc>
        <w:tc>
          <w:tcPr>
            <w:tcW w:w="5835" w:type="dxa"/>
          </w:tcPr>
          <w:p w:rsidR="00CE21F0" w:rsidRDefault="00CE21F0" w:rsidP="000F03D8">
            <w:pPr>
              <w:pStyle w:val="ListParagraph"/>
              <w:ind w:left="0"/>
            </w:pPr>
            <w:r>
              <w:t xml:space="preserve">Amidst growing concern that children were not receiving proper strategies for sounding out unfamiliar words, Flesch (1955) published this book. He contended that children hesitated when encountering </w:t>
            </w:r>
            <w:r w:rsidR="000F03D8">
              <w:t>unfamiliar</w:t>
            </w:r>
            <w:r>
              <w:t xml:space="preserve"> word</w:t>
            </w:r>
            <w:r w:rsidR="000F03D8">
              <w:t>s</w:t>
            </w:r>
            <w:r>
              <w:t xml:space="preserve"> and argued that children should learn to sound out words. (Walker, 2008)</w:t>
            </w:r>
          </w:p>
        </w:tc>
      </w:tr>
      <w:tr w:rsidR="00CE21F0" w:rsidTr="001F18D2">
        <w:tc>
          <w:tcPr>
            <w:tcW w:w="870" w:type="dxa"/>
          </w:tcPr>
          <w:p w:rsidR="00CE21F0" w:rsidRDefault="00CE21F0" w:rsidP="001F18D2">
            <w:pPr>
              <w:pStyle w:val="ListParagraph"/>
              <w:ind w:left="0"/>
            </w:pPr>
            <w:r>
              <w:t>1960s</w:t>
            </w:r>
          </w:p>
        </w:tc>
        <w:tc>
          <w:tcPr>
            <w:tcW w:w="2511" w:type="dxa"/>
          </w:tcPr>
          <w:p w:rsidR="00CE21F0" w:rsidRDefault="00CE21F0" w:rsidP="001F18D2">
            <w:pPr>
              <w:pStyle w:val="ListParagraph"/>
              <w:ind w:left="0"/>
            </w:pPr>
            <w:r>
              <w:t>Resurgence of Phonics</w:t>
            </w:r>
          </w:p>
        </w:tc>
        <w:tc>
          <w:tcPr>
            <w:tcW w:w="5835" w:type="dxa"/>
          </w:tcPr>
          <w:p w:rsidR="00CE21F0" w:rsidRDefault="00CE21F0" w:rsidP="001F18D2">
            <w:pPr>
              <w:pStyle w:val="ListParagraph"/>
              <w:ind w:left="0"/>
            </w:pPr>
            <w:r>
              <w:t>Many basal readers included programs for analytic phonics instruction, which uses sight words to teach letter-sound relationships. (Walker, 2008)</w:t>
            </w:r>
          </w:p>
        </w:tc>
      </w:tr>
      <w:tr w:rsidR="00CE21F0" w:rsidTr="001F18D2">
        <w:tc>
          <w:tcPr>
            <w:tcW w:w="870" w:type="dxa"/>
          </w:tcPr>
          <w:p w:rsidR="00CE21F0" w:rsidRDefault="00CE21F0" w:rsidP="001F18D2">
            <w:pPr>
              <w:pStyle w:val="ListParagraph"/>
              <w:ind w:left="0"/>
            </w:pPr>
            <w:r>
              <w:t>1967</w:t>
            </w:r>
          </w:p>
        </w:tc>
        <w:tc>
          <w:tcPr>
            <w:tcW w:w="2511" w:type="dxa"/>
          </w:tcPr>
          <w:p w:rsidR="00CE21F0" w:rsidRDefault="00CE21F0" w:rsidP="001F18D2">
            <w:pPr>
              <w:pStyle w:val="ListParagraph"/>
              <w:ind w:left="0"/>
            </w:pPr>
            <w:r>
              <w:t>The First Grade Studies</w:t>
            </w:r>
          </w:p>
        </w:tc>
        <w:tc>
          <w:tcPr>
            <w:tcW w:w="5835" w:type="dxa"/>
          </w:tcPr>
          <w:p w:rsidR="00CE21F0" w:rsidRDefault="00CE21F0" w:rsidP="00966CD3">
            <w:pPr>
              <w:pStyle w:val="ListParagraph"/>
              <w:ind w:left="0"/>
            </w:pPr>
            <w:r>
              <w:t>The federal government commissioned these studies to analyze what method for word learning was most effective. The studies analyzed code-emphasis approaches (i.e., intense phonics) and meaning-emphasis approaches (i.e., whole word). The directors of the project, Bond and Dykstra (1967)</w:t>
            </w:r>
            <w:r w:rsidR="005571ED">
              <w:t>,</w:t>
            </w:r>
            <w:r>
              <w:t xml:space="preserve"> concluded that no </w:t>
            </w:r>
            <w:r w:rsidR="00966CD3">
              <w:t>single</w:t>
            </w:r>
            <w:r>
              <w:t xml:space="preserve"> approach was better in all circumstances or should be used to the </w:t>
            </w:r>
            <w:r w:rsidR="005571ED">
              <w:t>exclusion of others</w:t>
            </w:r>
            <w:r>
              <w:t>. (Walker, 2008)</w:t>
            </w:r>
          </w:p>
        </w:tc>
      </w:tr>
      <w:tr w:rsidR="00CE21F0" w:rsidTr="001F18D2">
        <w:tc>
          <w:tcPr>
            <w:tcW w:w="870" w:type="dxa"/>
          </w:tcPr>
          <w:p w:rsidR="00CE21F0" w:rsidRDefault="00CE21F0" w:rsidP="001F18D2">
            <w:pPr>
              <w:pStyle w:val="ListParagraph"/>
              <w:ind w:left="0"/>
            </w:pPr>
            <w:r>
              <w:t>1967</w:t>
            </w:r>
          </w:p>
        </w:tc>
        <w:tc>
          <w:tcPr>
            <w:tcW w:w="2511" w:type="dxa"/>
          </w:tcPr>
          <w:p w:rsidR="00CE21F0" w:rsidRPr="006E3A6E" w:rsidRDefault="00CE21F0" w:rsidP="001F18D2">
            <w:pPr>
              <w:pStyle w:val="ListParagraph"/>
              <w:ind w:left="0"/>
              <w:rPr>
                <w:i/>
              </w:rPr>
            </w:pPr>
            <w:r>
              <w:t xml:space="preserve">Chall (1967) Published </w:t>
            </w:r>
            <w:r>
              <w:rPr>
                <w:i/>
              </w:rPr>
              <w:t>Learning to Read: The Great Debate</w:t>
            </w:r>
          </w:p>
        </w:tc>
        <w:tc>
          <w:tcPr>
            <w:tcW w:w="5835" w:type="dxa"/>
          </w:tcPr>
          <w:p w:rsidR="00CE21F0" w:rsidRDefault="00CE21F0" w:rsidP="001F18D2">
            <w:pPr>
              <w:pStyle w:val="ListParagraph"/>
              <w:ind w:left="0"/>
            </w:pPr>
            <w:r>
              <w:t>Analyzing available studies, Chall argued that a code-emphasis approach (i.e., intense phonics) was more effective for word learning than a meaning-emphasis approach (i.e., whole word). (Walker, 2008)</w:t>
            </w:r>
          </w:p>
        </w:tc>
      </w:tr>
      <w:tr w:rsidR="00CE21F0" w:rsidTr="001F18D2">
        <w:tc>
          <w:tcPr>
            <w:tcW w:w="870" w:type="dxa"/>
          </w:tcPr>
          <w:p w:rsidR="00CE21F0" w:rsidRDefault="00CE21F0" w:rsidP="001F18D2">
            <w:pPr>
              <w:pStyle w:val="ListParagraph"/>
              <w:ind w:left="0"/>
            </w:pPr>
            <w:r>
              <w:t>1979</w:t>
            </w:r>
          </w:p>
        </w:tc>
        <w:tc>
          <w:tcPr>
            <w:tcW w:w="2511" w:type="dxa"/>
          </w:tcPr>
          <w:p w:rsidR="00CE21F0" w:rsidRDefault="00CE21F0" w:rsidP="000F03D8">
            <w:pPr>
              <w:pStyle w:val="ListParagraph"/>
              <w:ind w:left="0"/>
            </w:pPr>
            <w:r>
              <w:t>The Principles of Whole Language Emerged: Goodman and Goodman (1979) “Learning to read is natural”</w:t>
            </w:r>
          </w:p>
        </w:tc>
        <w:tc>
          <w:tcPr>
            <w:tcW w:w="5835" w:type="dxa"/>
          </w:tcPr>
          <w:p w:rsidR="00CE21F0" w:rsidRDefault="000F03D8" w:rsidP="001F18D2">
            <w:pPr>
              <w:pStyle w:val="ListParagraph"/>
              <w:ind w:left="0"/>
            </w:pPr>
            <w:r>
              <w:t>The</w:t>
            </w:r>
            <w:r w:rsidR="00CE21F0">
              <w:t xml:space="preserve"> authors established the founding principles of the whole language movement, asserting that (1) through immersion in print-rich environments</w:t>
            </w:r>
            <w:r w:rsidR="00966CD3">
              <w:t>,</w:t>
            </w:r>
            <w:r w:rsidR="00CE21F0">
              <w:t xml:space="preserve"> </w:t>
            </w:r>
            <w:r w:rsidR="00CE21F0" w:rsidRPr="00D250CD">
              <w:t xml:space="preserve">children can learn to read as they learn to speak, </w:t>
            </w:r>
            <w:r w:rsidR="00CE21F0">
              <w:t xml:space="preserve">and </w:t>
            </w:r>
            <w:r w:rsidR="00966CD3">
              <w:t xml:space="preserve">that </w:t>
            </w:r>
            <w:r w:rsidR="00CE21F0">
              <w:t xml:space="preserve">(2) children best </w:t>
            </w:r>
            <w:r w:rsidR="00CE21F0" w:rsidRPr="00D250CD">
              <w:t xml:space="preserve">learn to read and write </w:t>
            </w:r>
            <w:r w:rsidR="00CE21F0">
              <w:t>when doing so for</w:t>
            </w:r>
            <w:r w:rsidR="00CE21F0" w:rsidRPr="00D250CD">
              <w:t xml:space="preserve"> authentic purposes</w:t>
            </w:r>
            <w:r w:rsidR="00CE21F0">
              <w:t>.</w:t>
            </w:r>
            <w:r w:rsidR="002C0862">
              <w:t xml:space="preserve"> </w:t>
            </w:r>
          </w:p>
        </w:tc>
      </w:tr>
      <w:tr w:rsidR="00CE21F0" w:rsidTr="001F18D2">
        <w:tc>
          <w:tcPr>
            <w:tcW w:w="870" w:type="dxa"/>
          </w:tcPr>
          <w:p w:rsidR="00CE21F0" w:rsidRDefault="00CE21F0" w:rsidP="001F18D2">
            <w:pPr>
              <w:pStyle w:val="ListParagraph"/>
              <w:ind w:left="0"/>
            </w:pPr>
            <w:r>
              <w:lastRenderedPageBreak/>
              <w:t>1980s</w:t>
            </w:r>
          </w:p>
        </w:tc>
        <w:tc>
          <w:tcPr>
            <w:tcW w:w="2511" w:type="dxa"/>
          </w:tcPr>
          <w:p w:rsidR="00CE21F0" w:rsidRDefault="00CE21F0" w:rsidP="001F18D2">
            <w:pPr>
              <w:pStyle w:val="ListParagraph"/>
              <w:ind w:left="0"/>
            </w:pPr>
            <w:r>
              <w:t>Rise of Whole Language</w:t>
            </w:r>
          </w:p>
        </w:tc>
        <w:tc>
          <w:tcPr>
            <w:tcW w:w="5835" w:type="dxa"/>
          </w:tcPr>
          <w:p w:rsidR="00CE21F0" w:rsidRDefault="00CE21F0" w:rsidP="001F18D2">
            <w:pPr>
              <w:pStyle w:val="ListParagraph"/>
              <w:ind w:left="0"/>
            </w:pPr>
            <w:r>
              <w:t>The whole language approach gain</w:t>
            </w:r>
            <w:r w:rsidR="005E6B6B">
              <w:t>ed</w:t>
            </w:r>
            <w:r>
              <w:t xml:space="preserve"> momentum. (Baumann &amp; Hoffman, 1998) The debate “nomenclature” shift</w:t>
            </w:r>
            <w:r w:rsidR="005E6B6B">
              <w:t>ed</w:t>
            </w:r>
            <w:r>
              <w:t xml:space="preserve"> from</w:t>
            </w:r>
            <w:r w:rsidRPr="00C41EA0">
              <w:t xml:space="preserve"> </w:t>
            </w:r>
            <w:r>
              <w:t>a “</w:t>
            </w:r>
            <w:r w:rsidRPr="00C41EA0">
              <w:t>phonics versus look-say conflict to a phonics versus whole language debate</w:t>
            </w:r>
            <w:r>
              <w:t>.” (Baumann, 1998)</w:t>
            </w:r>
          </w:p>
          <w:p w:rsidR="00CE21F0" w:rsidRDefault="00CE21F0" w:rsidP="001F18D2">
            <w:pPr>
              <w:pStyle w:val="ListParagraph"/>
              <w:ind w:left="0"/>
            </w:pPr>
          </w:p>
          <w:p w:rsidR="00CE21F0" w:rsidRDefault="00CE21F0" w:rsidP="001F18D2">
            <w:pPr>
              <w:pStyle w:val="ListParagraph"/>
              <w:ind w:left="0"/>
            </w:pPr>
            <w:r>
              <w:t>The whole language movement was in “full swing” throughout the 1980s and 1990s (Walker, 2008, p. 42).</w:t>
            </w:r>
          </w:p>
        </w:tc>
      </w:tr>
      <w:tr w:rsidR="00CE21F0" w:rsidTr="001F18D2">
        <w:tc>
          <w:tcPr>
            <w:tcW w:w="870" w:type="dxa"/>
          </w:tcPr>
          <w:p w:rsidR="00CE21F0" w:rsidRDefault="00CE21F0" w:rsidP="001F18D2">
            <w:pPr>
              <w:pStyle w:val="ListParagraph"/>
              <w:ind w:left="0"/>
            </w:pPr>
            <w:r>
              <w:t>1985</w:t>
            </w:r>
          </w:p>
        </w:tc>
        <w:tc>
          <w:tcPr>
            <w:tcW w:w="2511" w:type="dxa"/>
          </w:tcPr>
          <w:p w:rsidR="00CE21F0" w:rsidRPr="00C276C6" w:rsidRDefault="00CE21F0" w:rsidP="001F18D2">
            <w:pPr>
              <w:pStyle w:val="ListParagraph"/>
              <w:ind w:left="0"/>
            </w:pPr>
            <w:r>
              <w:rPr>
                <w:i/>
              </w:rPr>
              <w:t>Becoming a Nation of Readers</w:t>
            </w:r>
          </w:p>
        </w:tc>
        <w:tc>
          <w:tcPr>
            <w:tcW w:w="5835" w:type="dxa"/>
          </w:tcPr>
          <w:p w:rsidR="00CE21F0" w:rsidRDefault="00CE21F0" w:rsidP="00CE21F0">
            <w:pPr>
              <w:pStyle w:val="ListParagraph"/>
              <w:ind w:left="0"/>
            </w:pPr>
            <w:r>
              <w:t>Anderson, Hiebert, Scott, and Wilkinson (1985) prepared this government report. They recommended phonics instruction as a strategic process of using familiar word patterns to figure out unfamiliar words. At the same time, they advocated that children be provided opportunities to read instead of experience solely workbook exercises. (Walker, 2008).</w:t>
            </w:r>
          </w:p>
        </w:tc>
      </w:tr>
      <w:tr w:rsidR="00CE21F0" w:rsidTr="001F18D2">
        <w:tc>
          <w:tcPr>
            <w:tcW w:w="870" w:type="dxa"/>
          </w:tcPr>
          <w:p w:rsidR="00CE21F0" w:rsidRDefault="00CE21F0" w:rsidP="001F18D2">
            <w:pPr>
              <w:pStyle w:val="ListParagraph"/>
              <w:ind w:left="0"/>
            </w:pPr>
            <w:r>
              <w:t>Mid 1980s</w:t>
            </w:r>
          </w:p>
        </w:tc>
        <w:tc>
          <w:tcPr>
            <w:tcW w:w="2511" w:type="dxa"/>
          </w:tcPr>
          <w:p w:rsidR="00CE21F0" w:rsidRDefault="00CE21F0" w:rsidP="001F18D2">
            <w:pPr>
              <w:pStyle w:val="ListParagraph"/>
              <w:ind w:left="0"/>
            </w:pPr>
            <w:r>
              <w:t>Reading Recovery becomes Popular in the US</w:t>
            </w:r>
          </w:p>
        </w:tc>
        <w:tc>
          <w:tcPr>
            <w:tcW w:w="5835" w:type="dxa"/>
          </w:tcPr>
          <w:p w:rsidR="00CE21F0" w:rsidRDefault="00CE21F0" w:rsidP="00666A2B">
            <w:pPr>
              <w:pStyle w:val="ListParagraph"/>
              <w:ind w:left="0"/>
            </w:pPr>
            <w:r>
              <w:t xml:space="preserve">The early intervention program was developed by Clay (1979) in New Zealand but did not make its way into US classrooms until the mid 1980s. Many US reading specialists turned to Reading Recovery, contending that a </w:t>
            </w:r>
            <w:r w:rsidR="001A6D9F">
              <w:t>“</w:t>
            </w:r>
            <w:r>
              <w:t>stronger support system, especially for word learning, was needed for poor readers than what was provided by whole-language instructional principles</w:t>
            </w:r>
            <w:r w:rsidR="001A6D9F">
              <w:t>”</w:t>
            </w:r>
            <w:r>
              <w:t xml:space="preserve"> (</w:t>
            </w:r>
            <w:r w:rsidR="00666A2B">
              <w:t>McCormick &amp; Braithwaite, 2008, p. 178</w:t>
            </w:r>
            <w:r>
              <w:t>).</w:t>
            </w:r>
          </w:p>
        </w:tc>
      </w:tr>
      <w:tr w:rsidR="00CE21F0" w:rsidTr="001F18D2">
        <w:tc>
          <w:tcPr>
            <w:tcW w:w="870" w:type="dxa"/>
          </w:tcPr>
          <w:p w:rsidR="00CE21F0" w:rsidRDefault="00CE21F0" w:rsidP="001F18D2">
            <w:pPr>
              <w:pStyle w:val="ListParagraph"/>
              <w:ind w:left="0"/>
            </w:pPr>
            <w:r>
              <w:t>1989</w:t>
            </w:r>
          </w:p>
        </w:tc>
        <w:tc>
          <w:tcPr>
            <w:tcW w:w="2511" w:type="dxa"/>
          </w:tcPr>
          <w:p w:rsidR="00CE21F0" w:rsidRDefault="00CE21F0" w:rsidP="00CE21F0">
            <w:pPr>
              <w:pStyle w:val="ListParagraph"/>
              <w:ind w:left="0"/>
            </w:pPr>
            <w:r>
              <w:t xml:space="preserve">Stahl and Miller’s (1989) Research Study </w:t>
            </w:r>
          </w:p>
        </w:tc>
        <w:tc>
          <w:tcPr>
            <w:tcW w:w="5835" w:type="dxa"/>
          </w:tcPr>
          <w:p w:rsidR="00CE21F0" w:rsidRDefault="00CE21F0" w:rsidP="001F18D2">
            <w:pPr>
              <w:pStyle w:val="ListParagraph"/>
              <w:ind w:left="0"/>
            </w:pPr>
            <w:r>
              <w:t>Stahl and Miller (1989) published their research study “</w:t>
            </w:r>
            <w:r w:rsidRPr="006130C5">
              <w:t>Whole language and language experience approaches for beginning reading: A quantitative research synthesis</w:t>
            </w:r>
            <w:r>
              <w:t>.</w:t>
            </w:r>
            <w:r w:rsidRPr="006130C5">
              <w:t>”</w:t>
            </w:r>
            <w:r>
              <w:t xml:space="preserve"> The authors promoted the whole language approach.</w:t>
            </w:r>
          </w:p>
        </w:tc>
      </w:tr>
      <w:tr w:rsidR="00CE21F0" w:rsidTr="001F18D2">
        <w:tc>
          <w:tcPr>
            <w:tcW w:w="870" w:type="dxa"/>
          </w:tcPr>
          <w:p w:rsidR="00CE21F0" w:rsidRDefault="00CE21F0" w:rsidP="001F18D2">
            <w:pPr>
              <w:pStyle w:val="ListParagraph"/>
              <w:ind w:left="0"/>
            </w:pPr>
            <w:r>
              <w:t>1990</w:t>
            </w:r>
          </w:p>
        </w:tc>
        <w:tc>
          <w:tcPr>
            <w:tcW w:w="2511" w:type="dxa"/>
          </w:tcPr>
          <w:p w:rsidR="00CE21F0" w:rsidRPr="006130C5" w:rsidRDefault="00CE21F0" w:rsidP="001F18D2">
            <w:pPr>
              <w:pStyle w:val="ListParagraph"/>
              <w:ind w:left="0"/>
              <w:rPr>
                <w:i/>
              </w:rPr>
            </w:pPr>
            <w:r>
              <w:t xml:space="preserve">Adams (1990) Published </w:t>
            </w:r>
            <w:r>
              <w:rPr>
                <w:i/>
              </w:rPr>
              <w:t>Beginning to Read</w:t>
            </w:r>
          </w:p>
        </w:tc>
        <w:tc>
          <w:tcPr>
            <w:tcW w:w="5835" w:type="dxa"/>
          </w:tcPr>
          <w:p w:rsidR="00CE21F0" w:rsidRDefault="00CE21F0" w:rsidP="00680140">
            <w:pPr>
              <w:pStyle w:val="ListParagraph"/>
              <w:ind w:left="0"/>
            </w:pPr>
            <w:r>
              <w:t>Adams (1990) argued for reading instruction using the alphabetic principle</w:t>
            </w:r>
            <w:r w:rsidR="00680140">
              <w:t xml:space="preserve"> (sound-symbol relationships)</w:t>
            </w:r>
            <w:r>
              <w:t xml:space="preserve"> and phonemic awareness</w:t>
            </w:r>
            <w:r w:rsidR="00680140">
              <w:t xml:space="preserve"> (sound segmentation and sound synthesis)</w:t>
            </w:r>
            <w:r>
              <w:t>.</w:t>
            </w:r>
            <w:r w:rsidR="002C0862">
              <w:t xml:space="preserve"> (Walker, 2008)</w:t>
            </w:r>
          </w:p>
        </w:tc>
      </w:tr>
      <w:tr w:rsidR="00CE21F0" w:rsidTr="001F18D2">
        <w:tc>
          <w:tcPr>
            <w:tcW w:w="870" w:type="dxa"/>
          </w:tcPr>
          <w:p w:rsidR="00CE21F0" w:rsidRDefault="00CE21F0" w:rsidP="001F18D2">
            <w:pPr>
              <w:pStyle w:val="ListParagraph"/>
              <w:ind w:left="0"/>
            </w:pPr>
            <w:r>
              <w:t>1990s</w:t>
            </w:r>
          </w:p>
        </w:tc>
        <w:tc>
          <w:tcPr>
            <w:tcW w:w="2511" w:type="dxa"/>
          </w:tcPr>
          <w:p w:rsidR="00CE21F0" w:rsidRDefault="00CE21F0" w:rsidP="001F18D2">
            <w:pPr>
              <w:pStyle w:val="ListParagraph"/>
              <w:ind w:left="0"/>
            </w:pPr>
            <w:r>
              <w:t xml:space="preserve">Renewed Support for Phonics </w:t>
            </w:r>
          </w:p>
        </w:tc>
        <w:tc>
          <w:tcPr>
            <w:tcW w:w="5835" w:type="dxa"/>
          </w:tcPr>
          <w:p w:rsidR="00CE21F0" w:rsidRDefault="00CE21F0" w:rsidP="001F18D2">
            <w:pPr>
              <w:pStyle w:val="ListParagraph"/>
              <w:ind w:left="0"/>
            </w:pPr>
            <w:r>
              <w:t>“The 1990s ended with a growing consensus that phonics in some way needs to be included in reading instruction. There was renewed support for multiple approaches to teach phonics” (Walker, 2008, p. 47).</w:t>
            </w:r>
          </w:p>
        </w:tc>
      </w:tr>
      <w:tr w:rsidR="00CE21F0" w:rsidTr="001F18D2">
        <w:tc>
          <w:tcPr>
            <w:tcW w:w="870" w:type="dxa"/>
          </w:tcPr>
          <w:p w:rsidR="00CE21F0" w:rsidRDefault="00CE21F0" w:rsidP="001F18D2">
            <w:pPr>
              <w:pStyle w:val="ListParagraph"/>
              <w:ind w:left="0"/>
            </w:pPr>
            <w:r>
              <w:t>2001</w:t>
            </w:r>
          </w:p>
        </w:tc>
        <w:tc>
          <w:tcPr>
            <w:tcW w:w="2511" w:type="dxa"/>
          </w:tcPr>
          <w:p w:rsidR="00CE21F0" w:rsidRDefault="00CE21F0" w:rsidP="001F18D2">
            <w:pPr>
              <w:pStyle w:val="ListParagraph"/>
              <w:ind w:left="0"/>
            </w:pPr>
            <w:r>
              <w:t xml:space="preserve">Reading First </w:t>
            </w:r>
          </w:p>
        </w:tc>
        <w:tc>
          <w:tcPr>
            <w:tcW w:w="5835" w:type="dxa"/>
          </w:tcPr>
          <w:p w:rsidR="00CE21F0" w:rsidRDefault="00CE21F0" w:rsidP="00584F44">
            <w:pPr>
              <w:pStyle w:val="ListParagraph"/>
              <w:ind w:left="0"/>
            </w:pPr>
            <w:r>
              <w:t>The Reading First component of No Child Left Behind offered grants for schools to purchase reading programs considered scientifically-based. Since only progr</w:t>
            </w:r>
            <w:r w:rsidR="007D7353">
              <w:t>ams claiming a scientific base</w:t>
            </w:r>
            <w:r>
              <w:t xml:space="preserve"> defined by experimental studies </w:t>
            </w:r>
            <w:r w:rsidR="00584F44">
              <w:t>qualified</w:t>
            </w:r>
            <w:r>
              <w:t xml:space="preserve">, money was channeled into </w:t>
            </w:r>
            <w:r w:rsidR="00584F44">
              <w:t>e</w:t>
            </w:r>
            <w:r>
              <w:t xml:space="preserve">xplicit phonics instructional programs, </w:t>
            </w:r>
            <w:r w:rsidR="00584F44">
              <w:t>“</w:t>
            </w:r>
            <w:r>
              <w:t>often to the exclusion of reading literature and reading information</w:t>
            </w:r>
            <w:r w:rsidR="00584F44">
              <w:t>” (Walker, 2008, p. 47)</w:t>
            </w:r>
            <w:r>
              <w:t>. In essence, the pendulum s</w:t>
            </w:r>
            <w:r w:rsidR="00A267B7">
              <w:t>wayed</w:t>
            </w:r>
            <w:r>
              <w:t xml:space="preserve"> decidedly away from whole language. </w:t>
            </w:r>
          </w:p>
        </w:tc>
      </w:tr>
    </w:tbl>
    <w:p w:rsidR="002C0862" w:rsidRDefault="002C0862" w:rsidP="00CE21F0"/>
    <w:p w:rsidR="002C0862" w:rsidRDefault="002C0862">
      <w:r>
        <w:br w:type="page"/>
      </w:r>
    </w:p>
    <w:p w:rsidR="002C0862" w:rsidRDefault="002C0862" w:rsidP="00A26E7E">
      <w:pPr>
        <w:spacing w:line="480" w:lineRule="auto"/>
        <w:jc w:val="center"/>
      </w:pPr>
      <w:r>
        <w:lastRenderedPageBreak/>
        <w:t>References</w:t>
      </w:r>
    </w:p>
    <w:p w:rsidR="002C0862" w:rsidRDefault="002C0862" w:rsidP="00A26E7E">
      <w:pPr>
        <w:spacing w:line="480" w:lineRule="auto"/>
        <w:ind w:left="720" w:hanging="720"/>
      </w:pPr>
      <w:r w:rsidRPr="002C0862">
        <w:t xml:space="preserve">Baumann, J. F., &amp; Hoffman, J. V. (1998). Where are teachers' voices in the phonics/whole language debate? Results from a survey of U.S. elementary classroom teachers. </w:t>
      </w:r>
      <w:r w:rsidRPr="00A26E7E">
        <w:rPr>
          <w:i/>
        </w:rPr>
        <w:t>Reading Teacher</w:t>
      </w:r>
      <w:r w:rsidRPr="002C0862">
        <w:t xml:space="preserve">, </w:t>
      </w:r>
      <w:r w:rsidRPr="00A26E7E">
        <w:rPr>
          <w:i/>
        </w:rPr>
        <w:t>51</w:t>
      </w:r>
      <w:r w:rsidRPr="002C0862">
        <w:t>(8), 636</w:t>
      </w:r>
      <w:r w:rsidR="00A26E7E">
        <w:t>.</w:t>
      </w:r>
    </w:p>
    <w:p w:rsidR="00115392" w:rsidRDefault="007D7353" w:rsidP="00115392">
      <w:pPr>
        <w:spacing w:line="480" w:lineRule="auto"/>
        <w:ind w:left="720" w:hanging="720"/>
      </w:pPr>
      <w:r w:rsidRPr="00115392">
        <w:t xml:space="preserve">McCormick, S. &amp; Braithwaite, J. (2008). Fifty years of remedial and clinical reading in the United States: A historical overview. In M. J. Fresch (Ed.), </w:t>
      </w:r>
      <w:r w:rsidRPr="00115392">
        <w:rPr>
          <w:i/>
          <w:iCs/>
        </w:rPr>
        <w:t xml:space="preserve">An Essential history of current reading practices </w:t>
      </w:r>
      <w:r w:rsidRPr="00115392">
        <w:t>(157-185). Newark, DE: International Reading Association</w:t>
      </w:r>
    </w:p>
    <w:p w:rsidR="002C0862" w:rsidRDefault="002C0862" w:rsidP="00A26E7E">
      <w:pPr>
        <w:spacing w:line="480" w:lineRule="auto"/>
        <w:ind w:left="720" w:hanging="720"/>
      </w:pPr>
      <w:r w:rsidRPr="002C0862">
        <w:t xml:space="preserve">Stahl, S. A., &amp; Miller, P.D. (1989). Whole language and language experience approaches for beginning reading: A quantitative research synthesis. </w:t>
      </w:r>
      <w:r w:rsidRPr="00A26E7E">
        <w:rPr>
          <w:i/>
        </w:rPr>
        <w:t>Review of Educational Research</w:t>
      </w:r>
      <w:r w:rsidRPr="002C0862">
        <w:t xml:space="preserve">, </w:t>
      </w:r>
      <w:r w:rsidRPr="00A26E7E">
        <w:rPr>
          <w:i/>
        </w:rPr>
        <w:t>59</w:t>
      </w:r>
      <w:r w:rsidRPr="002C0862">
        <w:t>, 87-116.</w:t>
      </w:r>
    </w:p>
    <w:p w:rsidR="00213075" w:rsidRDefault="002C0862" w:rsidP="00A26E7E">
      <w:pPr>
        <w:spacing w:line="480" w:lineRule="auto"/>
        <w:ind w:left="720" w:hanging="720"/>
      </w:pPr>
      <w:r>
        <w:t xml:space="preserve">Walker, B. J. (2008). History of phonics instruction. In M. J. Fresch (Ed.), </w:t>
      </w:r>
      <w:r w:rsidR="00A26E7E">
        <w:rPr>
          <w:i/>
        </w:rPr>
        <w:t>An Essential history of current reading p</w:t>
      </w:r>
      <w:r>
        <w:rPr>
          <w:i/>
        </w:rPr>
        <w:t xml:space="preserve">ractices </w:t>
      </w:r>
      <w:r>
        <w:t>(33-51). Newark, DE: International Reading Association.</w:t>
      </w:r>
    </w:p>
    <w:p w:rsidR="00213075" w:rsidRPr="00213075" w:rsidRDefault="00213075" w:rsidP="00A26E7E">
      <w:pPr>
        <w:spacing w:line="480" w:lineRule="auto"/>
        <w:ind w:left="720" w:hanging="720"/>
      </w:pPr>
      <w:r>
        <w:t xml:space="preserve">Weaver, C., </w:t>
      </w:r>
      <w:r w:rsidRPr="00213075">
        <w:t>Gillmeister-Krause</w:t>
      </w:r>
      <w:r>
        <w:t xml:space="preserve">, L., &amp; Vento-Zogby, G. (1996) </w:t>
      </w:r>
      <w:r>
        <w:rPr>
          <w:i/>
        </w:rPr>
        <w:t xml:space="preserve">Creating support for effective literary education. </w:t>
      </w:r>
      <w:r>
        <w:t xml:space="preserve">Portsmouth, NH: Heinemann. </w:t>
      </w:r>
    </w:p>
    <w:sectPr w:rsidR="00213075" w:rsidRPr="00213075" w:rsidSect="005F04F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6E7E" w:rsidRDefault="00A26E7E" w:rsidP="00A26E7E">
      <w:r>
        <w:separator/>
      </w:r>
    </w:p>
  </w:endnote>
  <w:endnote w:type="continuationSeparator" w:id="0">
    <w:p w:rsidR="00A26E7E" w:rsidRDefault="00A26E7E" w:rsidP="00A26E7E">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6E7E" w:rsidRDefault="00A26E7E" w:rsidP="00A26E7E">
      <w:r>
        <w:separator/>
      </w:r>
    </w:p>
  </w:footnote>
  <w:footnote w:type="continuationSeparator" w:id="0">
    <w:p w:rsidR="00A26E7E" w:rsidRDefault="00A26E7E" w:rsidP="00A26E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E7E" w:rsidRDefault="00A26E7E">
    <w:pPr>
      <w:pStyle w:val="Header"/>
      <w:jc w:val="right"/>
    </w:pPr>
    <w:r>
      <w:t>Whole Language Timeline</w:t>
    </w:r>
    <w:r>
      <w:tab/>
    </w:r>
    <w:r>
      <w:tab/>
    </w:r>
    <w:sdt>
      <w:sdtPr>
        <w:id w:val="16850736"/>
        <w:docPartObj>
          <w:docPartGallery w:val="Page Numbers (Top of Page)"/>
          <w:docPartUnique/>
        </w:docPartObj>
      </w:sdtPr>
      <w:sdtContent>
        <w:fldSimple w:instr=" PAGE   \* MERGEFORMAT ">
          <w:r w:rsidR="00085F0F">
            <w:rPr>
              <w:noProof/>
            </w:rPr>
            <w:t>3</w:t>
          </w:r>
        </w:fldSimple>
      </w:sdtContent>
    </w:sdt>
  </w:p>
  <w:p w:rsidR="00A26E7E" w:rsidRDefault="00A26E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60F86"/>
    <w:multiLevelType w:val="hybridMultilevel"/>
    <w:tmpl w:val="8C26092C"/>
    <w:lvl w:ilvl="0" w:tplc="5FBAC5E0">
      <w:start w:val="1"/>
      <w:numFmt w:val="bullet"/>
      <w:lvlText w:val=""/>
      <w:lvlJc w:val="left"/>
      <w:pPr>
        <w:tabs>
          <w:tab w:val="num" w:pos="720"/>
        </w:tabs>
        <w:ind w:left="720" w:hanging="360"/>
      </w:pPr>
      <w:rPr>
        <w:rFonts w:ascii="Wingdings 2" w:hAnsi="Wingdings 2" w:hint="default"/>
      </w:rPr>
    </w:lvl>
    <w:lvl w:ilvl="1" w:tplc="AB78B180" w:tentative="1">
      <w:start w:val="1"/>
      <w:numFmt w:val="bullet"/>
      <w:lvlText w:val=""/>
      <w:lvlJc w:val="left"/>
      <w:pPr>
        <w:tabs>
          <w:tab w:val="num" w:pos="1440"/>
        </w:tabs>
        <w:ind w:left="1440" w:hanging="360"/>
      </w:pPr>
      <w:rPr>
        <w:rFonts w:ascii="Wingdings 2" w:hAnsi="Wingdings 2" w:hint="default"/>
      </w:rPr>
    </w:lvl>
    <w:lvl w:ilvl="2" w:tplc="1FD69A30" w:tentative="1">
      <w:start w:val="1"/>
      <w:numFmt w:val="bullet"/>
      <w:lvlText w:val=""/>
      <w:lvlJc w:val="left"/>
      <w:pPr>
        <w:tabs>
          <w:tab w:val="num" w:pos="2160"/>
        </w:tabs>
        <w:ind w:left="2160" w:hanging="360"/>
      </w:pPr>
      <w:rPr>
        <w:rFonts w:ascii="Wingdings 2" w:hAnsi="Wingdings 2" w:hint="default"/>
      </w:rPr>
    </w:lvl>
    <w:lvl w:ilvl="3" w:tplc="CA989FBE" w:tentative="1">
      <w:start w:val="1"/>
      <w:numFmt w:val="bullet"/>
      <w:lvlText w:val=""/>
      <w:lvlJc w:val="left"/>
      <w:pPr>
        <w:tabs>
          <w:tab w:val="num" w:pos="2880"/>
        </w:tabs>
        <w:ind w:left="2880" w:hanging="360"/>
      </w:pPr>
      <w:rPr>
        <w:rFonts w:ascii="Wingdings 2" w:hAnsi="Wingdings 2" w:hint="default"/>
      </w:rPr>
    </w:lvl>
    <w:lvl w:ilvl="4" w:tplc="C18CCC10" w:tentative="1">
      <w:start w:val="1"/>
      <w:numFmt w:val="bullet"/>
      <w:lvlText w:val=""/>
      <w:lvlJc w:val="left"/>
      <w:pPr>
        <w:tabs>
          <w:tab w:val="num" w:pos="3600"/>
        </w:tabs>
        <w:ind w:left="3600" w:hanging="360"/>
      </w:pPr>
      <w:rPr>
        <w:rFonts w:ascii="Wingdings 2" w:hAnsi="Wingdings 2" w:hint="default"/>
      </w:rPr>
    </w:lvl>
    <w:lvl w:ilvl="5" w:tplc="F5E0194E" w:tentative="1">
      <w:start w:val="1"/>
      <w:numFmt w:val="bullet"/>
      <w:lvlText w:val=""/>
      <w:lvlJc w:val="left"/>
      <w:pPr>
        <w:tabs>
          <w:tab w:val="num" w:pos="4320"/>
        </w:tabs>
        <w:ind w:left="4320" w:hanging="360"/>
      </w:pPr>
      <w:rPr>
        <w:rFonts w:ascii="Wingdings 2" w:hAnsi="Wingdings 2" w:hint="default"/>
      </w:rPr>
    </w:lvl>
    <w:lvl w:ilvl="6" w:tplc="08EC7EAA" w:tentative="1">
      <w:start w:val="1"/>
      <w:numFmt w:val="bullet"/>
      <w:lvlText w:val=""/>
      <w:lvlJc w:val="left"/>
      <w:pPr>
        <w:tabs>
          <w:tab w:val="num" w:pos="5040"/>
        </w:tabs>
        <w:ind w:left="5040" w:hanging="360"/>
      </w:pPr>
      <w:rPr>
        <w:rFonts w:ascii="Wingdings 2" w:hAnsi="Wingdings 2" w:hint="default"/>
      </w:rPr>
    </w:lvl>
    <w:lvl w:ilvl="7" w:tplc="E77C45B6" w:tentative="1">
      <w:start w:val="1"/>
      <w:numFmt w:val="bullet"/>
      <w:lvlText w:val=""/>
      <w:lvlJc w:val="left"/>
      <w:pPr>
        <w:tabs>
          <w:tab w:val="num" w:pos="5760"/>
        </w:tabs>
        <w:ind w:left="5760" w:hanging="360"/>
      </w:pPr>
      <w:rPr>
        <w:rFonts w:ascii="Wingdings 2" w:hAnsi="Wingdings 2" w:hint="default"/>
      </w:rPr>
    </w:lvl>
    <w:lvl w:ilvl="8" w:tplc="EDACA97E" w:tentative="1">
      <w:start w:val="1"/>
      <w:numFmt w:val="bullet"/>
      <w:lvlText w:val=""/>
      <w:lvlJc w:val="left"/>
      <w:pPr>
        <w:tabs>
          <w:tab w:val="num" w:pos="6480"/>
        </w:tabs>
        <w:ind w:left="6480" w:hanging="360"/>
      </w:pPr>
      <w:rPr>
        <w:rFonts w:ascii="Wingdings 2" w:hAnsi="Wingdings 2" w:hint="default"/>
      </w:rPr>
    </w:lvl>
  </w:abstractNum>
  <w:abstractNum w:abstractNumId="1">
    <w:nsid w:val="590E2C7C"/>
    <w:multiLevelType w:val="hybridMultilevel"/>
    <w:tmpl w:val="9928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D812DC"/>
    <w:rsid w:val="0000555B"/>
    <w:rsid w:val="00085F0F"/>
    <w:rsid w:val="000A3C95"/>
    <w:rsid w:val="000F03D8"/>
    <w:rsid w:val="00115392"/>
    <w:rsid w:val="001A6D9F"/>
    <w:rsid w:val="00213075"/>
    <w:rsid w:val="002543E3"/>
    <w:rsid w:val="002C0862"/>
    <w:rsid w:val="00352CAF"/>
    <w:rsid w:val="00532204"/>
    <w:rsid w:val="005571ED"/>
    <w:rsid w:val="00584F44"/>
    <w:rsid w:val="005E6B6B"/>
    <w:rsid w:val="005F04F8"/>
    <w:rsid w:val="006534C0"/>
    <w:rsid w:val="00666A2B"/>
    <w:rsid w:val="00680140"/>
    <w:rsid w:val="006B3BEE"/>
    <w:rsid w:val="00747CC6"/>
    <w:rsid w:val="007D7353"/>
    <w:rsid w:val="00966CD3"/>
    <w:rsid w:val="00A267B7"/>
    <w:rsid w:val="00A26E7E"/>
    <w:rsid w:val="00A63B20"/>
    <w:rsid w:val="00AB0714"/>
    <w:rsid w:val="00B1435A"/>
    <w:rsid w:val="00B85B02"/>
    <w:rsid w:val="00C436ED"/>
    <w:rsid w:val="00CE21F0"/>
    <w:rsid w:val="00D16485"/>
    <w:rsid w:val="00D812DC"/>
    <w:rsid w:val="00D86A03"/>
    <w:rsid w:val="00E4402D"/>
    <w:rsid w:val="00E823ED"/>
    <w:rsid w:val="00EA706D"/>
    <w:rsid w:val="00F514BA"/>
    <w:rsid w:val="00F80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4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E3"/>
    <w:pPr>
      <w:ind w:left="720"/>
      <w:contextualSpacing/>
    </w:pPr>
  </w:style>
  <w:style w:type="table" w:styleId="TableGrid">
    <w:name w:val="Table Grid"/>
    <w:basedOn w:val="TableNormal"/>
    <w:uiPriority w:val="59"/>
    <w:rsid w:val="00CE2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13075"/>
    <w:rPr>
      <w:color w:val="0000FF" w:themeColor="hyperlink"/>
      <w:u w:val="single"/>
    </w:rPr>
  </w:style>
  <w:style w:type="paragraph" w:styleId="Header">
    <w:name w:val="header"/>
    <w:basedOn w:val="Normal"/>
    <w:link w:val="HeaderChar"/>
    <w:uiPriority w:val="99"/>
    <w:unhideWhenUsed/>
    <w:rsid w:val="00A26E7E"/>
    <w:pPr>
      <w:tabs>
        <w:tab w:val="center" w:pos="4680"/>
        <w:tab w:val="right" w:pos="9360"/>
      </w:tabs>
    </w:pPr>
  </w:style>
  <w:style w:type="character" w:customStyle="1" w:styleId="HeaderChar">
    <w:name w:val="Header Char"/>
    <w:basedOn w:val="DefaultParagraphFont"/>
    <w:link w:val="Header"/>
    <w:uiPriority w:val="99"/>
    <w:rsid w:val="00A26E7E"/>
  </w:style>
  <w:style w:type="paragraph" w:styleId="Footer">
    <w:name w:val="footer"/>
    <w:basedOn w:val="Normal"/>
    <w:link w:val="FooterChar"/>
    <w:uiPriority w:val="99"/>
    <w:semiHidden/>
    <w:unhideWhenUsed/>
    <w:rsid w:val="00A26E7E"/>
    <w:pPr>
      <w:tabs>
        <w:tab w:val="center" w:pos="4680"/>
        <w:tab w:val="right" w:pos="9360"/>
      </w:tabs>
    </w:pPr>
  </w:style>
  <w:style w:type="character" w:customStyle="1" w:styleId="FooterChar">
    <w:name w:val="Footer Char"/>
    <w:basedOn w:val="DefaultParagraphFont"/>
    <w:link w:val="Footer"/>
    <w:uiPriority w:val="99"/>
    <w:semiHidden/>
    <w:rsid w:val="00A26E7E"/>
  </w:style>
  <w:style w:type="paragraph" w:styleId="BalloonText">
    <w:name w:val="Balloon Text"/>
    <w:basedOn w:val="Normal"/>
    <w:link w:val="BalloonTextChar"/>
    <w:uiPriority w:val="99"/>
    <w:semiHidden/>
    <w:unhideWhenUsed/>
    <w:rsid w:val="00A26E7E"/>
    <w:rPr>
      <w:rFonts w:ascii="Tahoma" w:hAnsi="Tahoma" w:cs="Tahoma"/>
      <w:sz w:val="16"/>
      <w:szCs w:val="16"/>
    </w:rPr>
  </w:style>
  <w:style w:type="character" w:customStyle="1" w:styleId="BalloonTextChar">
    <w:name w:val="Balloon Text Char"/>
    <w:basedOn w:val="DefaultParagraphFont"/>
    <w:link w:val="BalloonText"/>
    <w:uiPriority w:val="99"/>
    <w:semiHidden/>
    <w:rsid w:val="00A26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30799">
      <w:bodyDiv w:val="1"/>
      <w:marLeft w:val="0"/>
      <w:marRight w:val="0"/>
      <w:marTop w:val="0"/>
      <w:marBottom w:val="0"/>
      <w:divBdr>
        <w:top w:val="none" w:sz="0" w:space="0" w:color="auto"/>
        <w:left w:val="none" w:sz="0" w:space="0" w:color="auto"/>
        <w:bottom w:val="none" w:sz="0" w:space="0" w:color="auto"/>
        <w:right w:val="none" w:sz="0" w:space="0" w:color="auto"/>
      </w:divBdr>
      <w:divsChild>
        <w:div w:id="2107650572">
          <w:marLeft w:val="432"/>
          <w:marRight w:val="0"/>
          <w:marTop w:val="8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5C8B15-A113-4BB0-BA03-F7DA274A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2</cp:revision>
  <cp:lastPrinted>2013-10-21T04:50:00Z</cp:lastPrinted>
  <dcterms:created xsi:type="dcterms:W3CDTF">2013-10-21T05:01:00Z</dcterms:created>
  <dcterms:modified xsi:type="dcterms:W3CDTF">2013-10-21T05:01:00Z</dcterms:modified>
</cp:coreProperties>
</file>