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F3864"/>
      </w:pPr>
      <w:r>
        <w:rPr>
          <w:rFonts w:ascii="Calibri" w:hAnsi="Calibri"/>
          <w:b/>
          <w:color w:val="D9E2F3"/>
          <w:sz w:val="48"/>
        </w:rPr>
        <w:t>[COMPANY NAME]</w:t>
      </w:r>
    </w:p>
    <w:p>
      <w:pPr>
        <w:spacing w:before="0" w:after="0"/>
        <w:jc w:val="center"/>
        <w:shd w:val="clear" w:color="auto" w:fill="1F3864"/>
      </w:pPr>
      <w:r>
        <w:rPr>
          <w:rFonts w:ascii="Calibri" w:hAnsi="Calibri"/>
          <w:b w:val="0"/>
          <w:color w:val="D9E2F3"/>
          <w:sz w:val="20"/>
        </w:rPr>
        <w:t>IT / ERP Centre of Excellence  ·  QAD Custom Modules</w:t>
      </w:r>
    </w:p>
    <w:p>
      <w:pPr>
        <w:spacing w:before="0" w:after="0"/>
        <w:jc w:val="center"/>
        <w:shd w:val="clear" w:color="auto" w:fill="1F3864"/>
      </w:pPr>
      <w:r>
        <w:rPr>
          <w:rFonts w:ascii="Calibri" w:hAnsi="Calibri"/>
          <w:b w:val="0"/>
          <w:color w:val="D9E2F3"/>
          <w:sz w:val="14"/>
        </w:rPr>
        <w:t xml:space="preserve"> </w:t>
      </w:r>
    </w:p>
    <w:p>
      <w:pPr>
        <w:spacing w:before="400" w:after="0"/>
      </w:pPr>
    </w:p>
    <w:p>
      <w:pPr>
        <w:spacing w:before="0" w:after="80"/>
        <w:jc w:val="center"/>
      </w:pPr>
      <w:r>
        <w:rPr>
          <w:rFonts w:ascii="Calibri" w:hAnsi="Calibri"/>
          <w:b/>
          <w:color w:val="1F3864"/>
          <w:sz w:val="64"/>
        </w:rPr>
        <w:t>DOA</w:t>
      </w:r>
    </w:p>
    <w:p>
      <w:pPr>
        <w:spacing w:before="0" w:after="160"/>
        <w:jc w:val="center"/>
      </w:pPr>
      <w:r>
        <w:rPr>
          <w:rFonts w:ascii="Calibri" w:hAnsi="Calibri"/>
          <w:color w:val="2E75B6"/>
          <w:sz w:val="32"/>
        </w:rPr>
        <w:t>Delegation of Authority Approval Module</w:t>
      </w:r>
    </w:p>
    <w:p>
      <w:pPr>
        <w:spacing w:before="80" w:after="240"/>
        <w:pBdr>
          <w:bottom w:val="single" w:sz="4" w:color="2E75B6" w:space="4"/>
        </w:pBdr>
      </w:pP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Document Type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Technical Reference — Custom Module Documentation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Classification</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INTERNAL — IT/ERP Team Only</w:t>
            </w:r>
          </w:p>
        </w:tc>
      </w:tr>
    </w:tbl>
    <w:p>
      <w:pPr>
        <w:spacing w:before="200"/>
      </w:pPr>
    </w:p>
    <w:p>
      <w:pPr>
        <w:jc w:val="center"/>
      </w:pPr>
      <w:r>
        <w:rPr>
          <w:rFonts w:ascii="Calibri" w:hAnsi="Calibri"/>
          <w:i/>
          <w:color w:val="767676"/>
          <w:sz w:val="16"/>
        </w:rPr>
        <w:t>Auto-generated by Mitra Central — QAD-Zone Documentation Mode</w:t>
      </w:r>
    </w:p>
    <w:p>
      <w:r>
        <w:br w:type="page"/>
      </w:r>
    </w:p>
    <w:p>
      <w:pPr>
        <w:pStyle w:val="Heading1"/>
        <w:shd w:val="clear" w:color="auto" w:fill="1F3864"/>
        <w:spacing w:before="240" w:after="120"/>
        <w:ind w:left="180" w:right="180"/>
      </w:pPr>
      <w:r>
        <w:rPr>
          <w:rFonts w:ascii="Calibri" w:hAnsi="Calibri"/>
          <w:b/>
          <w:color w:val="FFFFFF"/>
          <w:sz w:val="30"/>
        </w:rPr>
        <w:t>1.  DOCUMENT CONTROL</w:t>
      </w:r>
    </w:p>
    <w:p>
      <w:pPr>
        <w:pStyle w:val="Heading2"/>
        <w:pBdr>
          <w:bottom w:val="single" w:sz="4" w:space="1" w:color="2E75B6"/>
        </w:pBdr>
        <w:spacing w:before="200" w:after="80"/>
      </w:pPr>
      <w:r>
        <w:rPr>
          <w:rFonts w:ascii="Calibri" w:hAnsi="Calibri"/>
          <w:b/>
          <w:color w:val="1F3864"/>
          <w:sz w:val="26"/>
        </w:rPr>
        <w:t>Version History</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Version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Author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Reviewer</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Summary of Changes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1.0.0</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2026-04-09</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Initial auto-generated documentation.</w:t>
            </w:r>
          </w:p>
        </w:tc>
      </w:tr>
    </w:tbl>
    <w:p>
      <w:pPr>
        <w:pStyle w:val="Heading2"/>
        <w:pBdr>
          <w:bottom w:val="single" w:sz="4" w:space="1" w:color="2E75B6"/>
        </w:pBdr>
        <w:spacing w:before="200" w:after="80"/>
      </w:pPr>
      <w:r>
        <w:rPr>
          <w:rFonts w:ascii="Calibri" w:hAnsi="Calibri"/>
          <w:b/>
          <w:color w:val="1F3864"/>
          <w:sz w:val="26"/>
        </w:rPr>
        <w:t>Approvals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Sign-off Reference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IT / ERP Manager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Business Module Owner</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 / Test Lead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[NAME]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[DATE]</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[Email / Ticket Ref]</w:t>
            </w:r>
          </w:p>
        </w:tc>
      </w:tr>
    </w:tbl>
    <w:p>
      <w:r>
        <w:br w:type="page"/>
      </w:r>
    </w:p>
    <w:p>
      <w:pPr>
        <w:pStyle w:val="Heading1"/>
        <w:shd w:val="clear" w:color="auto" w:fill="1F3864"/>
        <w:spacing w:before="240" w:after="120"/>
        <w:ind w:left="180" w:right="180"/>
      </w:pPr>
      <w:r>
        <w:rPr>
          <w:rFonts w:ascii="Calibri" w:hAnsi="Calibri"/>
          <w:b/>
          <w:color w:val="FFFFFF"/>
          <w:sz w:val="30"/>
        </w:rPr>
        <w:t>2.  EXECUTIVE SUMMARY</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Module Code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DOA</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Full Name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Delegation of Authority Approval Module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Business Domain</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Compliance / Operations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Primary Purpose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Automates the approval process based on predefined rules and approvers.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Development Status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Production</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Criticality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HIGH — Ensures compliance with approval hierarchies and prevents unauthorized approvals.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Total Source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14</w:t>
            </w:r>
          </w:p>
        </w:tc>
      </w:tr>
    </w:tbl>
    <w:p>
      <w:pPr>
        <w:pStyle w:val="Heading2"/>
        <w:pBdr>
          <w:bottom w:val="single" w:sz="4" w:space="1" w:color="2E75B6"/>
        </w:pBdr>
        <w:spacing w:before="200" w:after="80"/>
      </w:pPr>
      <w:r>
        <w:rPr>
          <w:rFonts w:ascii="Calibri" w:hAnsi="Calibri"/>
          <w:b/>
          <w:color w:val="1F3864"/>
          <w:sz w:val="26"/>
        </w:rPr>
        <w:t>Key Capabilities</w:t>
      </w:r>
    </w:p>
    <w:p>
      <w:pPr>
        <w:pStyle w:val="ListBullet"/>
        <w:spacing w:before="20" w:after="20"/>
      </w:pPr>
      <w:r>
        <w:rPr>
          <w:rFonts w:ascii="Calibri" w:hAnsi="Calibri"/>
          <w:color w:val="404040"/>
          <w:sz w:val="20"/>
        </w:rPr>
        <w:t>Automates approval routing based on business rules.</w:t>
      </w:r>
    </w:p>
    <w:p>
      <w:pPr>
        <w:pStyle w:val="ListBullet"/>
        <w:spacing w:before="20" w:after="20"/>
      </w:pPr>
      <w:r>
        <w:rPr>
          <w:rFonts w:ascii="Calibri" w:hAnsi="Calibri"/>
          <w:color w:val="404040"/>
          <w:sz w:val="20"/>
        </w:rPr>
        <w:t>Exports and imports approval rules and approvers.</w:t>
      </w:r>
    </w:p>
    <w:p>
      <w:pPr>
        <w:pStyle w:val="ListBullet"/>
        <w:spacing w:before="20" w:after="20"/>
      </w:pPr>
      <w:r>
        <w:rPr>
          <w:rFonts w:ascii="Calibri" w:hAnsi="Calibri"/>
          <w:color w:val="404040"/>
          <w:sz w:val="20"/>
        </w:rPr>
        <w:t>Maintains a history of approval actions.</w:t>
      </w:r>
    </w:p>
    <w:p>
      <w:pPr>
        <w:pStyle w:val="ListBullet"/>
        <w:spacing w:before="20" w:after="20"/>
      </w:pPr>
      <w:r>
        <w:rPr>
          <w:rFonts w:ascii="Calibri" w:hAnsi="Calibri"/>
          <w:color w:val="404040"/>
          <w:sz w:val="20"/>
        </w:rPr>
        <w:t>Validates approver codes against predefined lists.</w:t>
      </w:r>
    </w:p>
    <w:p>
      <w:pPr>
        <w:pStyle w:val="Heading2"/>
        <w:pBdr>
          <w:bottom w:val="single" w:sz="4" w:space="1" w:color="2E75B6"/>
        </w:pBdr>
        <w:spacing w:before="200" w:after="80"/>
      </w:pPr>
      <w:r>
        <w:rPr>
          <w:rFonts w:ascii="Calibri" w:hAnsi="Calibri"/>
          <w:b/>
          <w:color w:val="1F3864"/>
          <w:sz w:val="26"/>
        </w:rPr>
        <w:t>Scope</w:t>
      </w:r>
    </w:p>
    <w:p>
      <w:pPr>
        <w:spacing w:before="40" w:after="80"/>
        <w:jc w:val="both"/>
      </w:pPr>
      <w:r>
        <w:rPr>
          <w:rFonts w:ascii="Calibri" w:hAnsi="Calibri"/>
          <w:i w:val="0"/>
          <w:color w:val="404040"/>
          <w:sz w:val="20"/>
        </w:rPr>
        <w:t>In scope:</w:t>
      </w:r>
    </w:p>
    <w:p>
      <w:pPr>
        <w:spacing w:before="40" w:after="80"/>
        <w:jc w:val="both"/>
      </w:pPr>
      <w:r>
        <w:rPr>
          <w:rFonts w:ascii="Calibri" w:hAnsi="Calibri"/>
          <w:i w:val="0"/>
          <w:color w:val="404040"/>
          <w:sz w:val="20"/>
        </w:rPr>
        <w:t>Approval processes for various business transactions requiring delegation of authority.</w:t>
      </w:r>
    </w:p>
    <w:p>
      <w:pPr>
        <w:spacing w:before="40" w:after="80"/>
        <w:jc w:val="both"/>
      </w:pPr>
      <w:r>
        <w:rPr>
          <w:rFonts w:ascii="Calibri" w:hAnsi="Calibri"/>
          <w:i w:val="0"/>
          <w:color w:val="404040"/>
          <w:sz w:val="20"/>
        </w:rPr>
        <w:t>Out of scope:</w:t>
      </w:r>
    </w:p>
    <w:p>
      <w:pPr>
        <w:spacing w:before="40" w:after="80"/>
        <w:jc w:val="both"/>
      </w:pPr>
      <w:r>
        <w:rPr>
          <w:rFonts w:ascii="Calibri" w:hAnsi="Calibri"/>
          <w:i w:val="0"/>
          <w:color w:val="404040"/>
          <w:sz w:val="20"/>
        </w:rPr>
        <w:t>Standard QAD approval processes not requiring custom rules.</w:t>
      </w:r>
    </w:p>
    <w:p>
      <w:r>
        <w:br w:type="page"/>
      </w:r>
    </w:p>
    <w:p>
      <w:pPr>
        <w:pStyle w:val="Heading1"/>
        <w:shd w:val="clear" w:color="auto" w:fill="1F3864"/>
        <w:spacing w:before="240" w:after="120"/>
        <w:ind w:left="180" w:right="180"/>
      </w:pPr>
      <w:r>
        <w:rPr>
          <w:rFonts w:ascii="Calibri" w:hAnsi="Calibri"/>
          <w:b/>
          <w:color w:val="FFFFFF"/>
          <w:sz w:val="30"/>
        </w:rPr>
        <w:t>3.  MODULE OVERVIEW</w:t>
      </w:r>
    </w:p>
    <w:p>
      <w:pPr>
        <w:pStyle w:val="Heading2"/>
        <w:pBdr>
          <w:bottom w:val="single" w:sz="4" w:space="1" w:color="2E75B6"/>
        </w:pBdr>
        <w:spacing w:before="200" w:after="80"/>
      </w:pPr>
      <w:r>
        <w:rPr>
          <w:rFonts w:ascii="Calibri" w:hAnsi="Calibri"/>
          <w:b/>
          <w:color w:val="1F3864"/>
          <w:sz w:val="26"/>
        </w:rPr>
        <w:t>Background &amp; Business Context</w:t>
      </w:r>
    </w:p>
    <w:p>
      <w:pPr>
        <w:spacing w:before="40" w:after="80"/>
        <w:jc w:val="both"/>
      </w:pPr>
      <w:r>
        <w:rPr>
          <w:rFonts w:ascii="Calibri" w:hAnsi="Calibri"/>
          <w:i w:val="0"/>
          <w:color w:val="404040"/>
          <w:sz w:val="20"/>
        </w:rPr>
        <w:t>The DOA module was developed to ensure that all business transactions requiring approval are processed according to predefined rules and hierarchies. This module addresses the need for compliance with internal policies and regulatory requirements by automating the approval process and maintaining a detailed history of all actions. It integrates with the ERP landscape to provide seamless approval workflows.</w:t>
      </w:r>
    </w:p>
    <w:p>
      <w:pPr>
        <w:pStyle w:val="Heading2"/>
        <w:pBdr>
          <w:bottom w:val="single" w:sz="4" w:space="1" w:color="2E75B6"/>
        </w:pBdr>
        <w:spacing w:before="200" w:after="80"/>
      </w:pPr>
      <w:r>
        <w:rPr>
          <w:rFonts w:ascii="Calibri" w:hAnsi="Calibri"/>
          <w:b/>
          <w:color w:val="1F3864"/>
          <w:sz w:val="26"/>
        </w:rPr>
        <w:t>End-to-End Process Flow</w:t>
      </w:r>
    </w:p>
    <w:p>
      <w:pPr>
        <w:spacing w:before="40" w:after="80"/>
        <w:jc w:val="both"/>
      </w:pPr>
      <w:r>
        <w:rPr>
          <w:rFonts w:ascii="Calibri" w:hAnsi="Calibri"/>
          <w:i w:val="0"/>
          <w:color w:val="404040"/>
          <w:sz w:val="20"/>
        </w:rPr>
        <w:t>1. A transaction requiring approval is initiated. 2. The system checks the applicable approval rules. 3. The transaction is routed to the appropriate approver based on predefined rules. 4. The approver reviews and approves or rejects the transaction. 5. The system logs the action in the approval history.</w:t>
      </w:r>
    </w:p>
    <w:p>
      <w:pPr>
        <w:pStyle w:val="Heading2"/>
        <w:pBdr>
          <w:bottom w:val="single" w:sz="4" w:space="1" w:color="2E75B6"/>
        </w:pBdr>
        <w:spacing w:before="200" w:after="80"/>
      </w:pPr>
      <w:r>
        <w:rPr>
          <w:rFonts w:ascii="Calibri" w:hAnsi="Calibri"/>
          <w:b/>
          <w:color w:val="1F3864"/>
          <w:sz w:val="26"/>
        </w:rPr>
        <w:t>User Roles &amp; Stakeholders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Role / User 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Responsibilities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Security Domain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Reviews and approves transactions based on assigned authority.</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Operations</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Must have a valid approver code.</w:t>
            </w:r>
          </w:p>
        </w:tc>
      </w:tr>
    </w:tbl>
    <w:p>
      <w:r>
        <w:br w:type="page"/>
      </w:r>
    </w:p>
    <w:p>
      <w:pPr>
        <w:pStyle w:val="Heading1"/>
        <w:shd w:val="clear" w:color="auto" w:fill="1F3864"/>
        <w:spacing w:before="240" w:after="120"/>
        <w:ind w:left="180" w:right="180"/>
      </w:pPr>
      <w:r>
        <w:rPr>
          <w:rFonts w:ascii="Calibri" w:hAnsi="Calibri"/>
          <w:b/>
          <w:color w:val="FFFFFF"/>
          <w:sz w:val="30"/>
        </w:rPr>
        <w:t>4.  TECHNICAL DESIGN</w:t>
      </w:r>
    </w:p>
    <w:p>
      <w:pPr>
        <w:pStyle w:val="Heading2"/>
        <w:pBdr>
          <w:bottom w:val="single" w:sz="4" w:space="1" w:color="2E75B6"/>
        </w:pBdr>
        <w:spacing w:before="200" w:after="80"/>
      </w:pPr>
      <w:r>
        <w:rPr>
          <w:rFonts w:ascii="Calibri" w:hAnsi="Calibri"/>
          <w:b/>
          <w:color w:val="1F3864"/>
          <w:sz w:val="26"/>
        </w:rPr>
        <w:t>Architecture &amp; Integration</w:t>
      </w:r>
    </w:p>
    <w:p>
      <w:pPr>
        <w:spacing w:before="40" w:after="80"/>
        <w:jc w:val="both"/>
      </w:pPr>
      <w:r>
        <w:rPr>
          <w:rFonts w:ascii="Calibri" w:hAnsi="Calibri"/>
          <w:i w:val="0"/>
          <w:color w:val="404040"/>
          <w:sz w:val="20"/>
        </w:rPr>
        <w:t>This customisation is structured as a standalone 4GL application with multiple programs handling different aspects of the approval process. It includes maintenance, export, import, and history tracking functionalities. The module is deployed as a set of .p and .i files integrated into the QAD environment.</w:t>
      </w:r>
    </w:p>
    <w:p>
      <w:pPr>
        <w:pStyle w:val="Heading2"/>
        <w:pBdr>
          <w:bottom w:val="single" w:sz="4" w:space="1" w:color="2E75B6"/>
        </w:pBdr>
        <w:spacing w:before="200" w:after="80"/>
      </w:pPr>
      <w:r>
        <w:rPr>
          <w:rFonts w:ascii="Calibri" w:hAnsi="Calibri"/>
          <w:b/>
          <w:color w:val="1F3864"/>
          <w:sz w:val="26"/>
        </w:rPr>
        <w:t>Integration Map</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System / Module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Code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Integration 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Data Exchanged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Direction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Shared Table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Approval rules and codes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r>
    </w:tbl>
    <w:p>
      <w:pPr>
        <w:pStyle w:val="Heading2"/>
        <w:pBdr>
          <w:bottom w:val="single" w:sz="4" w:space="1" w:color="2E75B6"/>
        </w:pBdr>
        <w:spacing w:before="200" w:after="80"/>
      </w:pPr>
      <w:r>
        <w:rPr>
          <w:rFonts w:ascii="Calibri" w:hAnsi="Calibri"/>
          <w:b/>
          <w:color w:val="1F3864"/>
          <w:sz w:val="26"/>
        </w:rPr>
        <w:t>Database Objects</w:t>
      </w:r>
    </w:p>
    <w:p>
      <w:pPr>
        <w:pStyle w:val="Heading3"/>
        <w:spacing w:before="160" w:after="60"/>
      </w:pPr>
      <w:r>
        <w:rPr>
          <w:rFonts w:ascii="Calibri" w:hAnsi="Calibri"/>
          <w:b/>
          <w:color w:val="2E75B6"/>
          <w:sz w:val="22"/>
        </w:rPr>
        <w:t>Custom Tables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 Name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Source .df File</w:t>
            </w:r>
          </w:p>
        </w:tc>
        <w:tc>
          <w:tcPr>
            <w:tcW w:type="dxa" w:w="3213"/>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approver details and their associated rules.</w:t>
            </w:r>
          </w:p>
        </w:tc>
      </w:tr>
      <w:tr>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xxdoah_hist.df</w:t>
            </w:r>
          </w:p>
        </w:tc>
        <w:tc>
          <w:tcPr>
            <w:tcW w:type="dxa" w:w="3213"/>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the history of approval actions.</w:t>
            </w:r>
          </w:p>
        </w:tc>
      </w:tr>
      <w:tr>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xxdoarule_mstr.df</w:t>
            </w:r>
          </w:p>
        </w:tc>
        <w:tc>
          <w:tcPr>
            <w:tcW w:type="dxa" w:w="3213"/>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the rules for delegation of authority.</w:t>
            </w:r>
          </w:p>
        </w:tc>
      </w:tr>
    </w:tbl>
    <w:p>
      <w:pPr>
        <w:pStyle w:val="Heading3"/>
        <w:spacing w:before="160" w:after="60"/>
      </w:pPr>
      <w:r>
        <w:rPr>
          <w:rFonts w:ascii="Calibri" w:hAnsi="Calibri"/>
          <w:b/>
          <w:color w:val="2E75B6"/>
          <w:sz w:val="22"/>
        </w:rPr>
        <w:t>Key Fields Reference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Table.Field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Label</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Key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xxdoaappr_mstr.xxdoaappr_domain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Domain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Identifies the domain for the approver.</w:t>
            </w:r>
          </w:p>
        </w:tc>
      </w:tr>
      <w:tr>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xxdoah_hist.xxdoah_type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Type</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w:t>
            </w:r>
          </w:p>
        </w:tc>
        <w:tc>
          <w:tcPr>
            <w:tcW w:type="dxa" w:w="1928"/>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Type of rule associated with the approval action.</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xxdoarule_mstr.xxdoarule_code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Rule Code</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CHAR</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PK</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Unique identifier for a DOA rule.</w:t>
            </w:r>
          </w:p>
        </w:tc>
      </w:tr>
    </w:tbl>
    <w:p>
      <w:pPr>
        <w:pStyle w:val="Heading3"/>
        <w:spacing w:before="160" w:after="60"/>
      </w:pPr>
      <w:r>
        <w:rPr>
          <w:rFonts w:ascii="Calibri" w:hAnsi="Calibri"/>
          <w:b/>
          <w:color w:val="2E75B6"/>
          <w:sz w:val="22"/>
        </w:rPr>
        <w:t>Standard QAD Tables Accessed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QAD Module Owner</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Access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 / Fields Used</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QAD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Read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Stores predefined codes and values used for validation.</w:t>
            </w:r>
          </w:p>
        </w:tc>
      </w:tr>
    </w:tbl>
    <w:p>
      <w:r>
        <w:br w:type="page"/>
      </w:r>
    </w:p>
    <w:p>
      <w:pPr>
        <w:pStyle w:val="Heading1"/>
        <w:shd w:val="clear" w:color="auto" w:fill="1F3864"/>
        <w:spacing w:before="240" w:after="120"/>
        <w:ind w:left="180" w:right="180"/>
      </w:pPr>
      <w:r>
        <w:rPr>
          <w:rFonts w:ascii="Calibri" w:hAnsi="Calibri"/>
          <w:b/>
          <w:color w:val="FFFFFF"/>
          <w:sz w:val="30"/>
        </w:rPr>
        <w:t>5.  PROGRAM DOCUMENTATION</w:t>
      </w:r>
    </w:p>
    <w:p>
      <w:pPr>
        <w:pStyle w:val="Heading2"/>
        <w:pBdr>
          <w:bottom w:val="single" w:sz="4" w:space="1" w:color="2E75B6"/>
        </w:pBdr>
        <w:spacing w:before="200" w:after="80"/>
      </w:pPr>
      <w:r>
        <w:rPr>
          <w:rFonts w:ascii="Calibri" w:hAnsi="Calibri"/>
          <w:b/>
          <w:color w:val="1F3864"/>
          <w:sz w:val="26"/>
        </w:rPr>
        <w:t>Source File Inventory</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Purpose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codes.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xxapprvalupd.i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Updates DOA approver user IDs.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approvers to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xxdoaapprload.p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Uploads DOA approvers from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xxdoahist.p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Logs DOA history actions.</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400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Processes DOA rules for approvals.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xxdoaruleexp.p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250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Exports DOA rules to a CSV file.</w:t>
            </w:r>
          </w:p>
        </w:tc>
      </w:tr>
      <w:tr>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xxdoaruleload.p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350</w:t>
            </w:r>
          </w:p>
        </w:tc>
        <w:tc>
          <w:tcPr>
            <w:tcW w:type="dxa" w:w="2409"/>
            <w:shd w:val="clear" w:color="auto" w:fill="F2F2F2"/>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Uploads DOA rules from a CSV file.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xxdoarulemt.p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500</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Maintains DOA rules.</w:t>
            </w:r>
          </w:p>
        </w:tc>
      </w:tr>
    </w:tbl>
    <w:p>
      <w:pPr>
        <w:pStyle w:val="Heading2"/>
        <w:pBdr>
          <w:bottom w:val="single" w:sz="4" w:space="1" w:color="2E75B6"/>
        </w:pBdr>
        <w:spacing w:before="200" w:after="80"/>
      </w:pPr>
      <w:r>
        <w:rPr>
          <w:rFonts w:ascii="Calibri" w:hAnsi="Calibri"/>
          <w:b/>
          <w:color w:val="1F3864"/>
          <w:sz w:val="26"/>
        </w:rPr>
        <w:t>Key Program Detail</w:t>
      </w:r>
    </w:p>
    <w:p>
      <w:pPr>
        <w:pStyle w:val="Heading3"/>
        <w:spacing w:before="160" w:after="60"/>
      </w:pPr>
      <w:r>
        <w:rPr>
          <w:rFonts w:ascii="Calibri" w:hAnsi="Calibri"/>
          <w:b/>
          <w:color w:val="2E75B6"/>
          <w:sz w:val="22"/>
        </w:rPr>
        <w:t>1.  xxdoaproc.p</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Batch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Direct menu launch</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Calls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getApproversFromGCM</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(Write)</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xxdoah_hist</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Tables (Read)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xxdoarule_mstr, xxdoaappr_mstr, code_mstr</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Include Files</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mfdeclre.i</w:t>
            </w:r>
          </w:p>
        </w:tc>
      </w:tr>
    </w:tbl>
    <w:p>
      <w:pPr>
        <w:pStyle w:val="Heading3"/>
        <w:spacing w:before="160" w:after="60"/>
      </w:pPr>
      <w:r>
        <w:rPr>
          <w:rFonts w:ascii="Calibri" w:hAnsi="Calibri"/>
          <w:b/>
          <w:color w:val="2E75B6"/>
          <w:sz w:val="22"/>
        </w:rPr>
        <w:t>Logic Flow</w:t>
      </w:r>
    </w:p>
    <w:p>
      <w:pPr>
        <w:spacing w:before="40" w:after="80"/>
        <w:jc w:val="both"/>
      </w:pPr>
      <w:r>
        <w:rPr>
          <w:rFonts w:ascii="Calibri" w:hAnsi="Calibri"/>
          <w:i w:val="0"/>
          <w:color w:val="404040"/>
          <w:sz w:val="20"/>
        </w:rPr>
        <w:t>1. Validate rule type. 2. Retrieve approver codes. 3. Determine next approver. 4. Log history if applicable.</w:t>
      </w:r>
    </w:p>
    <w:p>
      <w:pPr>
        <w:pStyle w:val="Heading3"/>
        <w:spacing w:before="160" w:after="60"/>
      </w:pPr>
      <w:r>
        <w:rPr>
          <w:rFonts w:ascii="Calibri" w:hAnsi="Calibri"/>
          <w:b/>
          <w:color w:val="2E75B6"/>
          <w:sz w:val="22"/>
        </w:rPr>
        <w:t>Representative Code Snippet</w:t>
      </w:r>
    </w:p>
    <w:p>
      <w:pPr>
        <w:spacing w:before="20" w:after="20"/>
        <w:shd w:val="clear" w:color="auto" w:fill="F2F2F2"/>
        <w:pBdr>
          <w:left w:val="thick" w:sz="10" w:space="6" w:color="2E75B6"/>
        </w:pBdr>
        <w:ind w:left="320"/>
      </w:pPr>
      <w:r>
        <w:rPr>
          <w:rFonts w:ascii="Courier New" w:hAnsi="Courier New"/>
          <w:color w:val="404040"/>
          <w:sz w:val="18"/>
        </w:rPr>
        <w:t>FIND FIRST code_mstr WHERE code_domain EQ global_domain AND code_fldname EQ 'DOA_RULE_TYPE' AND code_value EQ ipc_ruletype NO-LOCK NO-ERROR.</w:t>
      </w:r>
    </w:p>
    <w:p>
      <w:pPr>
        <w:pStyle w:val="Heading3"/>
        <w:spacing w:before="160" w:after="60"/>
      </w:pPr>
      <w:r>
        <w:rPr>
          <w:rFonts w:ascii="Calibri" w:hAnsi="Calibri"/>
          <w:b/>
          <w:color w:val="2E75B6"/>
          <w:sz w:val="22"/>
        </w:rPr>
        <w:t>Error Handling &amp; Performance Notes</w:t>
      </w:r>
    </w:p>
    <w:p>
      <w:pPr>
        <w:spacing w:before="40" w:after="80"/>
        <w:jc w:val="both"/>
      </w:pPr>
      <w:r>
        <w:rPr>
          <w:rFonts w:ascii="Calibri" w:hAnsi="Calibri"/>
          <w:i w:val="0"/>
          <w:color w:val="404040"/>
          <w:sz w:val="20"/>
        </w:rPr>
        <w:t>Uses ON ERROR blocks to handle validation failures and retries.</w:t>
      </w:r>
    </w:p>
    <w:p>
      <w:r>
        <w:br w:type="page"/>
      </w:r>
    </w:p>
    <w:p>
      <w:pPr>
        <w:pStyle w:val="Heading1"/>
        <w:shd w:val="clear" w:color="auto" w:fill="1F3864"/>
        <w:spacing w:before="240" w:after="120"/>
        <w:ind w:left="180" w:right="180"/>
      </w:pPr>
      <w:r>
        <w:rPr>
          <w:rFonts w:ascii="Calibri" w:hAnsi="Calibri"/>
          <w:b/>
          <w:color w:val="FFFFFF"/>
          <w:sz w:val="30"/>
        </w:rPr>
        <w:t>6.  BUSINESS RULES &amp; CONFIGURATION</w:t>
      </w:r>
    </w:p>
    <w:p>
      <w:pPr>
        <w:pStyle w:val="Heading2"/>
        <w:pBdr>
          <w:bottom w:val="single" w:sz="4" w:space="1" w:color="2E75B6"/>
        </w:pBdr>
        <w:spacing w:before="200" w:after="80"/>
      </w:pPr>
      <w:r>
        <w:rPr>
          <w:rFonts w:ascii="Calibri" w:hAnsi="Calibri"/>
          <w:b/>
          <w:color w:val="1F3864"/>
          <w:sz w:val="26"/>
        </w:rPr>
        <w:t>Core Business Rules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Name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Rule Description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Enforced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Consequence</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 Validation</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codes must be defined in GCM.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xxapprupd.i</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shown and retry loop initiated.</w:t>
            </w:r>
          </w:p>
        </w:tc>
      </w:tr>
    </w:tbl>
    <w:p>
      <w:pPr>
        <w:pStyle w:val="Heading2"/>
        <w:pBdr>
          <w:bottom w:val="single" w:sz="4" w:space="1" w:color="2E75B6"/>
        </w:pBdr>
        <w:spacing w:before="200" w:after="80"/>
      </w:pPr>
      <w:r>
        <w:rPr>
          <w:rFonts w:ascii="Calibri" w:hAnsi="Calibri"/>
          <w:b/>
          <w:color w:val="1F3864"/>
          <w:sz w:val="26"/>
        </w:rPr>
        <w:t>Configuration Parameters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Parameter / Setting</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Stored In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Default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SEQUENCE_ID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code_mstr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Not specified</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Determines the sequence for rule codes.</w:t>
            </w:r>
          </w:p>
        </w:tc>
      </w:tr>
    </w:tbl>
    <w:p>
      <w:pPr>
        <w:pStyle w:val="Heading2"/>
        <w:pBdr>
          <w:bottom w:val="single" w:sz="4" w:space="1" w:color="2E75B6"/>
        </w:pBdr>
        <w:spacing w:before="200" w:after="80"/>
      </w:pPr>
      <w:r>
        <w:rPr>
          <w:rFonts w:ascii="Calibri" w:hAnsi="Calibri"/>
          <w:b/>
          <w:color w:val="1F3864"/>
          <w:sz w:val="26"/>
        </w:rPr>
        <w:t>Audit Trail</w:t>
      </w:r>
    </w:p>
    <w:p>
      <w:pPr>
        <w:spacing w:before="40" w:after="80"/>
        <w:jc w:val="both"/>
      </w:pPr>
      <w:r>
        <w:rPr>
          <w:rFonts w:ascii="Calibri" w:hAnsi="Calibri"/>
          <w:i w:val="0"/>
          <w:color w:val="404040"/>
          <w:sz w:val="20"/>
        </w:rPr>
        <w:t>Approval actions are logged in the xxdoah_hist table, capturing domain, rule type, action, and approvers.</w:t>
      </w:r>
    </w:p>
    <w:p>
      <w:r>
        <w:br w:type="page"/>
      </w:r>
    </w:p>
    <w:p>
      <w:pPr>
        <w:pStyle w:val="Heading1"/>
        <w:shd w:val="clear" w:color="auto" w:fill="1F3864"/>
        <w:spacing w:before="240" w:after="120"/>
        <w:ind w:left="180" w:right="180"/>
      </w:pPr>
      <w:r>
        <w:rPr>
          <w:rFonts w:ascii="Calibri" w:hAnsi="Calibri"/>
          <w:b/>
          <w:color w:val="FFFFFF"/>
          <w:sz w:val="30"/>
        </w:rPr>
        <w:t>7.  SECURITY, TESTING &amp; HANDOVER</w:t>
      </w:r>
    </w:p>
    <w:p>
      <w:pPr>
        <w:pStyle w:val="Heading2"/>
        <w:pBdr>
          <w:bottom w:val="single" w:sz="4" w:space="1" w:color="2E75B6"/>
        </w:pBdr>
        <w:spacing w:before="200" w:after="80"/>
      </w:pPr>
      <w:r>
        <w:rPr>
          <w:rFonts w:ascii="Calibri" w:hAnsi="Calibri"/>
          <w:b/>
          <w:color w:val="1F3864"/>
          <w:sz w:val="26"/>
        </w:rPr>
        <w:t>Access Control</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Security Object</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Type</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Minimum Role / Token</w:t>
            </w:r>
          </w:p>
        </w:tc>
        <w:tc>
          <w:tcPr>
            <w:tcW w:type="dxa" w:w="240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Notes</w:t>
            </w:r>
          </w:p>
        </w:tc>
      </w:tr>
      <w:tr>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xxdoaproc.p</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Program</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w:t>
            </w:r>
          </w:p>
        </w:tc>
        <w:tc>
          <w:tcPr>
            <w:tcW w:type="dxa" w:w="240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Access restricted to users with approver roles.</w:t>
            </w:r>
          </w:p>
        </w:tc>
      </w:tr>
    </w:tbl>
    <w:p>
      <w:pPr>
        <w:pStyle w:val="Heading2"/>
        <w:pBdr>
          <w:bottom w:val="single" w:sz="4" w:space="1" w:color="2E75B6"/>
        </w:pBdr>
        <w:spacing w:before="200" w:after="80"/>
      </w:pPr>
      <w:r>
        <w:rPr>
          <w:rFonts w:ascii="Calibri" w:hAnsi="Calibri"/>
          <w:b/>
          <w:color w:val="1F3864"/>
          <w:sz w:val="26"/>
        </w:rPr>
        <w:t>Test Scenarios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TC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Scenario</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Steps</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Expected Result</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TC-001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Validate approver code against GCM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1. Enter approver code. 2. Submit for validation.</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Error message if code is not defined.</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Pending</w:t>
            </w:r>
          </w:p>
        </w:tc>
      </w:tr>
    </w:tbl>
    <w:p>
      <w:pPr>
        <w:pStyle w:val="Heading2"/>
        <w:pBdr>
          <w:bottom w:val="single" w:sz="4" w:space="1" w:color="2E75B6"/>
        </w:pBdr>
        <w:spacing w:before="200" w:after="80"/>
      </w:pPr>
      <w:r>
        <w:rPr>
          <w:rFonts w:ascii="Calibri" w:hAnsi="Calibri"/>
          <w:b/>
          <w:color w:val="1F3864"/>
          <w:sz w:val="26"/>
        </w:rPr>
        <w:t>Known Issues &amp; Limitations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Issue #</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Severity</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Description</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Workaround</w:t>
            </w:r>
          </w:p>
        </w:tc>
        <w:tc>
          <w:tcPr>
            <w:tcW w:type="dxa" w:w="1928"/>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Status</w:t>
            </w:r>
          </w:p>
        </w:tc>
      </w:tr>
      <w:tr>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ISS-001</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Medium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Approver email not defined for certain codes.</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Manually update approver email in GCM.</w:t>
            </w:r>
          </w:p>
        </w:tc>
        <w:tc>
          <w:tcPr>
            <w:tcW w:type="dxa" w:w="1928"/>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Open</w:t>
            </w:r>
          </w:p>
        </w:tc>
      </w:tr>
    </w:tbl>
    <w:p>
      <w:r>
        <w:br w:type="page"/>
      </w:r>
    </w:p>
    <w:p>
      <w:pPr>
        <w:pStyle w:val="Heading1"/>
        <w:shd w:val="clear" w:color="auto" w:fill="1F3864"/>
        <w:spacing w:before="240" w:after="120"/>
        <w:ind w:left="180" w:right="180"/>
      </w:pPr>
      <w:r>
        <w:rPr>
          <w:rFonts w:ascii="Calibri" w:hAnsi="Calibri"/>
          <w:b/>
          <w:color w:val="FFFFFF"/>
          <w:sz w:val="30"/>
        </w:rPr>
        <w:t>8.  GLOSSARY</w:t>
      </w:r>
    </w:p>
    <w:tbl>
      <w:tblPr>
        <w:tblStyle w:val="TableGrid"/>
        <w:tblW w:type="auto" w:w="0"/>
        <w:tblLook w:firstColumn="1" w:firstRow="1" w:lastColumn="0" w:lastRow="0" w:noHBand="0" w:noVBand="1" w:val="04A0"/>
      </w:tblPr>
      <w:tblGrid>
        <w:gridCol w:w="4819"/>
        <w:gridCol w:w="4819"/>
      </w:tblGrid>
      <w:tr>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Term / Abbreviation</w:t>
            </w:r>
          </w:p>
        </w:tc>
        <w:tc>
          <w:tcPr>
            <w:tcW w:type="dxa" w:w="4819"/>
            <w:shd w:val="clear" w:color="auto" w:fill="1F3864"/>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Definition</w:t>
            </w:r>
          </w:p>
        </w:tc>
      </w:tr>
      <w:tr>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DOA</w:t>
            </w:r>
          </w:p>
        </w:tc>
        <w:tc>
          <w:tcPr>
            <w:tcW w:type="dxa" w:w="4819"/>
            <w:shd w:val="clear" w:color="auto" w:fill="FFFFFF"/>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val="0"/>
                <w:color w:val="404040"/>
                <w:sz w:val="20"/>
              </w:rPr>
              <w:t>Delegation of Authority, a process for routing approvals based on predefined rules.</w:t>
            </w:r>
          </w:p>
        </w:tc>
      </w:tr>
    </w:tbl>
    <w:p>
      <w:pPr>
        <w:pStyle w:val="Heading1"/>
        <w:shd w:val="clear" w:color="auto" w:fill="1F3864"/>
        <w:spacing w:before="240" w:after="120"/>
        <w:ind w:left="180" w:right="180"/>
      </w:pPr>
      <w:r>
        <w:rPr>
          <w:rFonts w:ascii="Calibri" w:hAnsi="Calibri"/>
          <w:b/>
          <w:color w:val="FFFFFF"/>
          <w:sz w:val="30"/>
        </w:rPr>
        <w:t>APPENDIX — AI GENERATION LOG</w:t>
      </w:r>
    </w:p>
    <w:tbl>
      <w:tblPr>
        <w:tblStyle w:val="TableGrid"/>
        <w:tblW w:type="auto" w:w="0"/>
        <w:tblLook w:firstColumn="1" w:firstRow="1" w:lastColumn="0" w:lastRow="0" w:noHBand="0" w:noVBand="1" w:val="04A0"/>
      </w:tblPr>
      <w:tblGrid>
        <w:gridCol w:w="4819"/>
        <w:gridCol w:w="4819"/>
      </w:tblGrid>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Generated By</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Mitra Central — QAD-Zone Documentation Mode</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Timestamp</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2026-04-09T14:44:28</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Files Scanned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14 files: xxapprupd.i, xxapprvalupd.i, xxdoaapprexp.p, xxdoaapprload.p, xxdoahist.p, xxdoaproc.p, xxdoaruleexp.p, xxdoaruleload.p, xxdoarulemt.p, xxnotifyupd.i, xxruleupd.i, xxdoaappr_mstr.df, xxdoah_hist.df, xxdoarule_mstr.df</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Lines Analysed</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Approximately 3000 lines across all source files</w:t>
            </w:r>
          </w:p>
        </w:tc>
      </w:tr>
      <w:tr>
        <w:tc>
          <w:tcPr>
            <w:tcW w:type="dxa" w:w="4819"/>
            <w:shd w:val="clear" w:color="auto" w:fill="2E75B6"/>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color w:val="FFFFFF"/>
                <w:sz w:val="20"/>
              </w:rPr>
              <w:t>LLM Model</w:t>
            </w:r>
          </w:p>
        </w:tc>
        <w:tc>
          <w:tcPr>
            <w:tcW w:type="dxa" w:w="4819"/>
            <w:shd w:val="clear" w:color="auto" w:fill="EEF3FB"/>
            <w:tcBorders>
              <w:top w:val="single" w:sz="4" w:color="BFBFBF"/>
              <w:left w:val="single" w:sz="4" w:color="BFBFBF"/>
              <w:bottom w:val="single" w:sz="4" w:color="BFBFBF"/>
              <w:right w:val="single" w:sz="4" w:color="BFBFBF"/>
            </w:tcBorders>
            <w:tcMar>
              <w:top w:w="80" w:type="dxa"/>
              <w:bottom w:w="80" w:type="dxa"/>
              <w:left w:w="140" w:type="dxa"/>
              <w:right w:w="140" w:type="dxa"/>
            </w:tcMar>
          </w:tcPr>
          <w:p>
            <w:r>
              <w:rPr>
                <w:rFonts w:ascii="Calibri" w:hAnsi="Calibri"/>
                <w:b w:val="0"/>
                <w:i/>
                <w:color w:val="2E75B6"/>
                <w:sz w:val="20"/>
              </w:rPr>
              <w:t>gpt-4o</w:t>
            </w:r>
          </w:p>
        </w:tc>
      </w:tr>
    </w:tbl>
    <w:p>
      <w:pPr>
        <w:spacing w:after="120"/>
      </w:pPr>
    </w:p>
    <w:p>
      <w:pPr>
        <w:spacing w:before="60" w:after="60"/>
        <w:shd w:val="clear" w:color="auto" w:fill="FCE4E4"/>
        <w:pBdr>
          <w:left w:val="thick" w:sz="10" w:space="6" w:color="C00000"/>
        </w:pBdr>
      </w:pPr>
      <w:r>
        <w:rPr>
          <w:rFonts w:ascii="Calibri" w:hAnsi="Calibri"/>
          <w:b/>
          <w:color w:val="C00000"/>
          <w:sz w:val="20"/>
        </w:rPr>
        <w:t xml:space="preserve">WARNING: </w:t>
      </w:r>
      <w:r>
        <w:rPr>
          <w:rFonts w:ascii="Calibri" w:hAnsi="Calibri"/>
          <w:color w:val="404040"/>
          <w:sz w:val="20"/>
        </w:rPr>
        <w:t>AI-generated content must be reviewed and approved by the module owner before this document is stored as an official record.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Bdr>
        <w:top w:val="single" w:sz="6" w:color="1F3864" w:space="1"/>
      </w:pBdr>
    </w:pPr>
    <w:r>
      <w:rPr>
        <w:rFonts w:ascii="Calibri" w:hAnsi="Calibri"/>
        <w:i/>
        <w:color w:val="767676"/>
        <w:sz w:val="16"/>
      </w:rPr>
      <w:t xml:space="preserve">INTERNAL — IT/ERP Team Use Only    Mitra Central — Auto-Generated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6" w:color="1F3864" w:space="1"/>
      </w:pBdr>
    </w:pPr>
    <w:r>
      <w:rPr>
        <w:rFonts w:ascii="Calibri" w:hAnsi="Calibri"/>
        <w:color w:val="767676"/>
        <w:sz w:val="18"/>
      </w:rPr>
      <w:t>[COMPANY NAME]  |  QAD Custom Module — DOA</w:t>
    </w:r>
    <w:r>
      <w:rPr>
        <w:rFonts w:ascii="Calibri" w:hAnsi="Calibri"/>
        <w:color w:val="2E75B6"/>
        <w:sz w:val="18"/>
      </w:rPr>
      <w:t xml:space="preserv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