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1E32B4"/>
      </w:pPr>
      <w:r>
        <w:rPr>
          <w:sz w:val="8"/>
        </w:rPr>
        <w:t xml:space="preserve">                                                                                                    </w:t>
      </w:r>
    </w:p>
    <w:p>
      <w:pPr>
        <w:spacing w:before="1600"/>
      </w:pPr>
    </w:p>
    <w:p>
      <w:pPr>
        <w:spacing w:after="120"/>
        <w:jc w:val="left"/>
      </w:pPr>
      <w:r>
        <w:rPr>
          <w:b/>
          <w:color w:val="0F1E7A"/>
          <w:sz w:val="52"/>
        </w:rPr>
        <w:t>DOA Module Documentation</w:t>
      </w:r>
    </w:p>
    <w:p>
      <w:pPr>
        <w:spacing w:after="80"/>
        <w:jc w:val="left"/>
      </w:pPr>
      <w:r>
        <w:rPr>
          <w:color w:val="1E32B4"/>
          <w:sz w:val="26"/>
        </w:rPr>
        <w:t>Mitra Central — QAD-Zone</w:t>
      </w:r>
    </w:p>
    <w:p>
      <w:pPr>
        <w:spacing w:after="0"/>
        <w:jc w:val="left"/>
      </w:pPr>
      <w:r>
        <w:rPr>
          <w:i/>
          <w:color w:val="555577"/>
          <w:sz w:val="20"/>
        </w:rPr>
        <w:t>Generated: April 08, 2026</w:t>
      </w:r>
    </w:p>
    <w:p/>
    <w:p>
      <w:pPr>
        <w:spacing w:before="0" w:after="0"/>
        <w:shd w:val="clear" w:color="auto" w:fill="1E32B4"/>
      </w:pPr>
      <w:r>
        <w:rPr>
          <w:sz w:val="8"/>
        </w:rPr>
        <w:t xml:space="preserve">                                                                                                    </w:t>
      </w:r>
    </w:p>
    <w:p>
      <w:r>
        <w:br w:type="page"/>
      </w:r>
    </w:p>
    <w:p>
      <w:pPr>
        <w:pStyle w:val="Heading1"/>
        <w:spacing w:after="120"/>
      </w:pPr>
      <w:r>
        <w:rPr>
          <w:color w:val="1E32B4"/>
        </w:rPr>
        <w:t>Table of Contents</w:t>
      </w:r>
    </w:p>
    <w:p>
      <w:r>
        <w:fldChar w:fldCharType="begin"/>
        <w:instrText xml:space="preserve">TOC \o "1-3" \h \z \u</w:instrText>
        <w:fldChar w:fldCharType="separate"/>
        <w:fldChar w:fldCharType="end"/>
      </w:r>
    </w:p>
    <w:p>
      <w:r>
        <w:rPr>
          <w:i/>
          <w:color w:val="AAAACC"/>
          <w:sz w:val="18"/>
        </w:rPr>
        <w:t>[ Right-click → Update Field to refresh the Table of Contents ]</w:t>
      </w:r>
    </w:p>
    <w:p>
      <w:r>
        <w:br w:type="page"/>
      </w:r>
    </w:p>
    <w:p>
      <w:pPr>
        <w:pStyle w:val="Heading1"/>
        <w:spacing w:before="280" w:after="80"/>
      </w:pPr>
      <w:r>
        <w:rPr>
          <w:color w:val="1E32B4"/>
        </w:rPr>
        <w:t>Overview / Introduction</w:t>
      </w:r>
    </w:p>
    <w:p>
      <w:pPr>
        <w:spacing w:after="120"/>
      </w:pPr>
      <w:r>
        <w:rPr>
          <w:color w:val="1A1A2E"/>
        </w:rPr>
        <w:t>The DOA (Delegation of Authority) module is designed to manage and automate the approval processes within an organization. It includes functionalities for updating approver codes, maintaining approver details, exporting and importing approver and rule data, and managing the history of approvals.</w:t>
      </w:r>
    </w:p>
    <w:p>
      <w:pPr>
        <w:pStyle w:val="Heading1"/>
        <w:spacing w:before="280" w:after="80"/>
      </w:pPr>
      <w:r>
        <w:rPr>
          <w:color w:val="1E32B4"/>
        </w:rPr>
        <w:t>Purpose and Scope</w:t>
      </w:r>
    </w:p>
    <w:p>
      <w:pPr>
        <w:spacing w:after="120"/>
      </w:pPr>
      <w:r>
        <w:rPr>
          <w:color w:val="1A1A2E"/>
        </w:rPr>
        <w:t>The purpose of the DOA module is to streamline the approval process by defining rules and approvers for various business transactions. It ensures that approvals are granted by authorized personnel and maintains a history of all approval actions. The scope includes managing approver codes, rule definitions, and processing approvals based on predefined rules.</w:t>
      </w:r>
    </w:p>
    <w:p>
      <w:pPr>
        <w:pStyle w:val="Heading1"/>
        <w:spacing w:before="280" w:after="80"/>
      </w:pPr>
      <w:r>
        <w:rPr>
          <w:color w:val="1E32B4"/>
        </w:rPr>
        <w:t>Technical Architecture</w:t>
      </w:r>
    </w:p>
    <w:p>
      <w:pPr>
        <w:spacing w:after="120"/>
      </w:pPr>
      <w:r>
        <w:rPr>
          <w:color w:val="1A1A2E"/>
        </w:rPr>
        <w:t>The DOA module consists of several key programs and include files. The main programs include xxapprupd.i for updating approver codes, xxapprvalupd.i for updating approver user IDs, xxdoaapprexp.p for exporting approver data, xxdoaapprload.p for importing approver data, xxdoaruleexp.p for exporting rule data, and xxdoaruleload.p for importing rule data. The module also includes utility programs for maintaining rules and approvers.</w:t>
      </w:r>
    </w:p>
    <w:p>
      <w:pPr>
        <w:pStyle w:val="Heading1"/>
        <w:spacing w:before="280" w:after="80"/>
      </w:pPr>
      <w:r>
        <w:rPr>
          <w:color w:val="1E32B4"/>
        </w:rPr>
        <w:t>Business Logic and Process Flow</w:t>
      </w:r>
    </w:p>
    <w:p>
      <w:pPr>
        <w:spacing w:after="120"/>
      </w:pPr>
      <w:r>
        <w:rPr>
          <w:color w:val="1A1A2E"/>
        </w:rPr>
        <w:t>The DOA module operates by defining rules and approvers for different business scenarios. The process flow involves updating approver codes, validating approver details, exporting and importing data for both approvers and rules, and maintaining a history of all approval actions. The module ensures that all approvals are processed according to the defined rules and that any discrepancies are logged for review.</w:t>
      </w:r>
    </w:p>
    <w:p>
      <w:pPr>
        <w:pStyle w:val="Heading1"/>
        <w:spacing w:before="280" w:after="80"/>
      </w:pPr>
      <w:r>
        <w:rPr>
          <w:color w:val="1E32B4"/>
        </w:rPr>
        <w:t>Database Tables and Fields Used</w:t>
      </w:r>
    </w:p>
    <w:p>
      <w:pPr>
        <w:spacing w:after="120"/>
      </w:pPr>
      <w:r>
        <w:rPr>
          <w:color w:val="1A1A2E"/>
        </w:rPr>
        <w:t>The module uses several database tables, including xxdoaappr_mstr for storing approver master data, xxdoah_hist for maintaining approval history, and xxdoarule_mstr for storing rule definitions. Each table includes fields for domain, rule type, business line, site, approvers, and other relevant data. The .df schema files provide detailed definitions of these tables and fields.</w:t>
      </w:r>
    </w:p>
    <w:p>
      <w:pPr>
        <w:pStyle w:val="Heading1"/>
        <w:spacing w:before="280" w:after="80"/>
      </w:pPr>
      <w:r>
        <w:rPr>
          <w:color w:val="1E32B4"/>
        </w:rPr>
        <w:t>Configuration and Setup</w:t>
      </w:r>
    </w:p>
    <w:p>
      <w:pPr>
        <w:spacing w:after="120"/>
      </w:pPr>
      <w:r>
        <w:rPr>
          <w:color w:val="1A1A2E"/>
        </w:rPr>
        <w:t>To configure the DOA module, ensure that the necessary database tables are created and populated with initial data. Approver codes and rule types must be defined in the GCM (Global Configuration Management) system. The module requires access to email services for sending notifications and exporting data.</w:t>
      </w:r>
    </w:p>
    <w:p>
      <w:pPr>
        <w:pStyle w:val="Heading1"/>
        <w:spacing w:before="280" w:after="80"/>
      </w:pPr>
      <w:r>
        <w:rPr>
          <w:color w:val="1E32B4"/>
        </w:rPr>
        <w:t>Dependencies and Related Programs</w:t>
      </w:r>
    </w:p>
    <w:p>
      <w:pPr>
        <w:spacing w:after="120"/>
      </w:pPr>
      <w:r>
        <w:rPr>
          <w:color w:val="1A1A2E"/>
        </w:rPr>
        <w:t>The DOA module depends on several include files, such as mfdeclre.i for declarations and pxmsg.i for message handling. It also interacts with other modules for user management and email notifications. Ensure that all related programs and dependencies are correctly configured and available.</w:t>
      </w:r>
    </w:p>
    <w:p>
      <w:pPr>
        <w:pStyle w:val="Heading1"/>
        <w:spacing w:before="280" w:after="80"/>
      </w:pPr>
      <w:r>
        <w:rPr>
          <w:color w:val="1E32B4"/>
        </w:rPr>
        <w:t>Known Limitations or Considerations</w:t>
      </w:r>
    </w:p>
    <w:p>
      <w:pPr>
        <w:spacing w:after="120"/>
      </w:pPr>
      <w:r>
        <w:rPr>
          <w:color w:val="1A1A2E"/>
        </w:rPr>
        <w:t>The module assumes that all approver codes and rule types are correctly defined in the GCM system. Any changes to the database schema or business rules may require updates to the module's configuration. Additionally, the module relies on external email services for notifications, which must be properly configured and operational.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77"/>
        <w:sz w:val="18"/>
      </w:rPr>
      <w:t xml:space="preserve">Page </w:t>
    </w:r>
    <w:r>
      <w:fldChar w:fldCharType="begin"/>
      <w:instrText>PAGE</w:instrText>
      <w:fldChar w:fldCharType="end"/>
    </w:r>
    <w:r>
      <w:rPr>
        <w:color w:val="555577"/>
        <w:sz w:val="18"/>
      </w:rPr>
      <w:t xml:space="preserve"> of </w:t>
    </w:r>
    <w:r>
      <w:fldChar w:fldCharType="begin"/>
      <w:instrText>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