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E32B4"/>
      </w:pPr>
      <w:r>
        <w:rPr>
          <w:sz w:val="8"/>
        </w:rPr>
        <w:t xml:space="preserve">                                                                                                    </w:t>
      </w:r>
    </w:p>
    <w:p>
      <w:pPr>
        <w:spacing w:before="1600"/>
      </w:pPr>
    </w:p>
    <w:p>
      <w:pPr>
        <w:spacing w:after="120"/>
        <w:jc w:val="left"/>
      </w:pPr>
      <w:r>
        <w:rPr>
          <w:b/>
          <w:color w:val="0F1E7A"/>
          <w:sz w:val="52"/>
        </w:rPr>
        <w:t>QAD Migration Plan: QAD EE 2022 → QAD Adaptive ERP 2022</w:t>
      </w:r>
    </w:p>
    <w:p>
      <w:pPr>
        <w:spacing w:after="80"/>
        <w:jc w:val="left"/>
      </w:pPr>
      <w:r>
        <w:rPr>
          <w:color w:val="1E32B4"/>
          <w:sz w:val="26"/>
        </w:rPr>
        <w:t>Mitra Central — QAD-Zone Modernisation Report</w:t>
      </w:r>
    </w:p>
    <w:p>
      <w:pPr>
        <w:spacing w:after="0"/>
        <w:jc w:val="left"/>
      </w:pPr>
      <w:r>
        <w:rPr>
          <w:i/>
          <w:color w:val="555577"/>
          <w:sz w:val="20"/>
        </w:rPr>
        <w:t>Generated: April 08, 2026</w:t>
      </w:r>
    </w:p>
    <w:p/>
    <w:p>
      <w:pPr>
        <w:spacing w:before="0" w:after="0"/>
        <w:shd w:val="clear" w:color="auto" w:fill="1E32B4"/>
      </w:pPr>
      <w:r>
        <w:rPr>
          <w:sz w:val="8"/>
        </w:rPr>
        <w:t xml:space="preserve">                                                                                                    </w:t>
      </w:r>
    </w:p>
    <w:p>
      <w:r>
        <w:br w:type="page"/>
      </w:r>
    </w:p>
    <w:p>
      <w:pPr>
        <w:pStyle w:val="Heading1"/>
        <w:spacing w:after="120"/>
      </w:pPr>
      <w:r>
        <w:rPr>
          <w:color w:val="1E32B4"/>
        </w:rPr>
        <w:t>Table of Contents</w:t>
      </w:r>
    </w:p>
    <w:p>
      <w:r>
        <w:fldChar w:fldCharType="begin"/>
        <w:instrText xml:space="preserve">TOC \o "1-3" \h \z \u</w:instrText>
        <w:fldChar w:fldCharType="separate"/>
        <w:fldChar w:fldCharType="end"/>
      </w:r>
    </w:p>
    <w:p>
      <w:r>
        <w:rPr>
          <w:i/>
          <w:color w:val="AAAACC"/>
          <w:sz w:val="18"/>
        </w:rPr>
        <w:t>[ Right-click → Update Field to refresh the Table of Contents ]</w:t>
      </w:r>
    </w:p>
    <w:p>
      <w:r>
        <w:br w:type="page"/>
      </w:r>
    </w:p>
    <w:p>
      <w:pPr>
        <w:pStyle w:val="Heading1"/>
        <w:spacing w:before="280" w:after="80"/>
      </w:pPr>
      <w:r>
        <w:rPr>
          <w:color w:val="1E32B4"/>
        </w:rPr>
        <w:t>Executive Summary</w:t>
      </w:r>
    </w:p>
    <w:p>
      <w:pPr>
        <w:spacing w:after="120"/>
      </w:pPr>
      <w:r>
        <w:rPr>
          <w:color w:val="1A1A2E"/>
        </w:rPr>
        <w:t>The migration from QAD EE 2022 to QAD Adaptive ERP 2022 involves 16 custom programs in the DOA module. The primary goal is to leverage new standard features while maintaining critical custom functionalities. The recommendation is to carry forward essential customizations, drop those replaced by standard features, and adapt others to fit the new architecture.</w:t>
      </w:r>
    </w:p>
    <w:p>
      <w:pPr>
        <w:pStyle w:val="Heading1"/>
        <w:spacing w:before="280" w:after="80"/>
      </w:pPr>
      <w:r>
        <w:rPr>
          <w:color w:val="1E32B4"/>
        </w:rPr>
        <w:t>Version Comparison: QAD EE 2022 vs QAD Adaptive ERP 2022</w:t>
      </w:r>
    </w:p>
    <w:p>
      <w:pPr>
        <w:spacing w:after="120"/>
      </w:pPr>
      <w:r>
        <w:rPr>
          <w:color w:val="1A1A2E"/>
        </w:rPr>
        <w:t>QAD Adaptive ERP 2022 introduces a cloud-based architecture with enhanced integration capabilities and new standard features such as improved workflow management and analytics. Some deprecated capabilities include older UI components and certain legacy APIs.</w:t>
      </w:r>
    </w:p>
    <w:p>
      <w:pPr>
        <w:pStyle w:val="Heading1"/>
        <w:spacing w:before="280" w:after="80"/>
      </w:pPr>
      <w:r>
        <w:rPr>
          <w:color w:val="1E32B4"/>
        </w:rPr>
        <w:t>Customisations to CARRY FORWARD</w:t>
      </w:r>
    </w:p>
    <w:p>
      <w:pPr>
        <w:pStyle w:val="ListNumber"/>
        <w:spacing w:after="40"/>
      </w:pPr>
      <w:r>
        <w:t>Module: doa, File: xxdoaapprload.p - This utility uploads DOA approvers and is critical for business operations. Migration effort: Medium. 2. Module: doa, File: xxdoaapprexp.p - This export utility is essential for reporting and compliance. Migration effort: Medium.</w:t>
      </w:r>
    </w:p>
    <w:p>
      <w:pPr>
        <w:pStyle w:val="Heading1"/>
        <w:spacing w:before="280" w:after="80"/>
      </w:pPr>
      <w:r>
        <w:rPr>
          <w:color w:val="1E32B4"/>
        </w:rPr>
        <w:t>Customisations to DROP (now standard in QAD Adaptive ERP 2022)</w:t>
      </w:r>
    </w:p>
    <w:p>
      <w:pPr>
        <w:pStyle w:val="ListNumber"/>
        <w:spacing w:after="40"/>
      </w:pPr>
      <w:r>
        <w:t>Module: doa, File: xxdispmsg.p - Message display functionality is now standard in QAD Adaptive ERP 2022. 2. Module: doa, File: xxapprupd.i - Approver code updates are handled by new standard workflow features.</w:t>
      </w:r>
    </w:p>
    <w:p>
      <w:pPr>
        <w:pStyle w:val="Heading1"/>
        <w:spacing w:before="280" w:after="80"/>
      </w:pPr>
      <w:r>
        <w:rPr>
          <w:color w:val="1E32B4"/>
        </w:rPr>
        <w:t>Customisations Requiring ADAPTATION</w:t>
      </w:r>
    </w:p>
    <w:p>
      <w:pPr>
        <w:pStyle w:val="ListNumber"/>
        <w:spacing w:after="40"/>
      </w:pPr>
      <w:r>
        <w:t>Module: doa, File: xxdoaapprmt.p - Requires adaptation to integrate with new UI components and workflow engine. Technical approach: Refactor UI logic and update API calls. Effort estimate: High.</w:t>
      </w:r>
    </w:p>
    <w:p>
      <w:pPr>
        <w:pStyle w:val="Heading1"/>
        <w:spacing w:before="280" w:after="80"/>
      </w:pPr>
      <w:r>
        <w:rPr>
          <w:color w:val="1E32B4"/>
        </w:rPr>
        <w:t>Implementation Roadmap</w:t>
      </w:r>
    </w:p>
    <w:p>
      <w:pPr>
        <w:spacing w:after="120"/>
      </w:pPr>
      <w:r>
        <w:rPr>
          <w:color w:val="1A1A2E"/>
        </w:rPr>
        <w:t>Phase 1: Analysis and Planning - Complete by Month 1. Phase 2: Development and Testing - Complete by Month 3. Phase 3: Deployment and Go-Live - Complete by Month 4. Key milestones include completion of code refactoring and successful integration testing.</w:t>
      </w:r>
    </w:p>
    <w:p>
      <w:pPr>
        <w:pStyle w:val="Heading1"/>
        <w:spacing w:before="280" w:after="80"/>
      </w:pPr>
      <w:r>
        <w:rPr>
          <w:color w:val="1E32B4"/>
        </w:rPr>
        <w:t>Risk Assessment</w:t>
      </w:r>
    </w:p>
    <w:p>
      <w:pPr>
        <w:pStyle w:val="ListNumber"/>
        <w:spacing w:after="40"/>
      </w:pPr>
      <w:r>
        <w:t>Risk: Data migration issues. Likelihood: Medium. Impact: High. Mitigation: Conduct thorough data validation and testing. 2. Risk: Custom code incompatibility. Likelihood: High. Impact: Medium. Mitigation: Early identification and refactoring of incompatible code.</w:t>
      </w:r>
    </w:p>
    <w:p>
      <w:pPr>
        <w:pStyle w:val="Heading1"/>
        <w:spacing w:before="280" w:after="80"/>
      </w:pPr>
      <w:r>
        <w:rPr>
          <w:color w:val="1E32B4"/>
        </w:rPr>
        <w:t>Effort Summary</w:t>
      </w:r>
    </w:p>
    <w:p>
      <w:pPr>
        <w:spacing w:after="120"/>
      </w:pPr>
      <w:r>
        <w:rPr>
          <w:color w:val="1A1A2E"/>
        </w:rPr>
        <w:t>Module | Action | Effort | Priority</w:t>
        <w:br/>
        <w:t>DOA | Carry Forward | Medium | High</w:t>
        <w:br/>
        <w:t>DOA | Drop | Low | Medium</w:t>
        <w:br/>
        <w:t>DOA | Adaptation | High | High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77"/>
        <w:sz w:val="18"/>
      </w:rPr>
      <w:t xml:space="preserve">Page </w:t>
    </w:r>
    <w:r>
      <w:fldChar w:fldCharType="begin"/>
      <w:instrText>PAGE</w:instrText>
      <w:fldChar w:fldCharType="end"/>
    </w:r>
    <w:r>
      <w:rPr>
        <w:color w:val="555577"/>
        <w:sz w:val="18"/>
      </w:rPr>
      <w:t xml:space="preserve"> of </w:t>
    </w:r>
    <w: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