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0"/>
      </w:pPr>
    </w:p>
    <w:p>
      <w:pPr>
        <w:spacing w:before="100" w:after="0"/>
      </w:pPr>
    </w:p>
    <w:p>
      <w:pPr>
        <w:spacing w:before="100" w:after="0"/>
      </w:pPr>
    </w:p>
    <w:p>
      <w:pPr>
        <w:spacing w:before="100" w:after="0"/>
      </w:pPr>
    </w:p>
    <w:p>
      <w:pPr>
        <w:spacing w:before="0" w:after="200"/>
        <w:jc w:val="center"/>
      </w:pPr>
      <w:r>
        <w:rPr>
          <w:rFonts w:ascii="Calibri" w:hAnsi="Calibri"/>
          <w:b/>
          <w:color w:val="2E75B6"/>
          <w:sz w:val="18"/>
        </w:rPr>
        <w:t>MITRA CENTRAL  ·  QAD-ZONE  ·  MODERNISATION</w:t>
      </w:r>
    </w:p>
    <w:p>
      <w:pPr>
        <w:spacing w:before="0" w:after="120"/>
        <w:jc w:val="center"/>
        <w:pBdr>
          <w:top w:val="single" w:sz="16" w:color="2E75B6" w:space="8"/>
          <w:bottom w:val="single" w:sz="16" w:color="2E75B6" w:space="8"/>
        </w:pBdr>
      </w:pPr>
      <w:r>
        <w:rPr>
          <w:rFonts w:ascii="Calibri" w:hAnsi="Calibri"/>
          <w:b/>
          <w:color w:val="1F4E79"/>
          <w:sz w:val="56"/>
        </w:rPr>
        <w:t>QAD ERP CUSTOMISATION</w:t>
      </w:r>
    </w:p>
    <w:p>
      <w:pPr>
        <w:spacing w:before="0" w:after="400"/>
        <w:jc w:val="center"/>
      </w:pPr>
      <w:r>
        <w:rPr>
          <w:rFonts w:ascii="Calibri" w:hAnsi="Calibri"/>
          <w:b/>
          <w:color w:val="1F4E79"/>
          <w:sz w:val="40"/>
        </w:rPr>
        <w:t>MIGRATION &amp; MODERNISATION PLAN</w:t>
      </w:r>
    </w:p>
    <w:p>
      <w:pPr>
        <w:spacing w:before="0" w:after="400"/>
        <w:jc w:val="center"/>
        <w:shd w:val="clear" w:color="auto" w:fill="BDD7EE"/>
      </w:pPr>
      <w:r>
        <w:rPr>
          <w:rFonts w:ascii="Calibri" w:hAnsi="Calibri"/>
          <w:b/>
          <w:color w:val="1F4E79"/>
          <w:sz w:val="28"/>
        </w:rPr>
        <w:t>QAD EE 2021  →  QAD Adaptive ERP 2022</w:t>
      </w:r>
    </w:p>
    <w:p>
      <w:pPr>
        <w:spacing w:before="0" w:after="80"/>
        <w:jc w:val="center"/>
      </w:pPr>
      <w:r>
        <w:rPr>
          <w:rFonts w:ascii="Calibri" w:hAnsi="Calibri"/>
          <w:b/>
          <w:color w:val="404040"/>
          <w:sz w:val="20"/>
        </w:rPr>
        <w:t xml:space="preserve">Document Date:  </w:t>
      </w:r>
      <w:r>
        <w:rPr>
          <w:rFonts w:ascii="Calibri" w:hAnsi="Calibri"/>
          <w:b w:val="0"/>
          <w:color w:val="000000"/>
          <w:sz w:val="20"/>
        </w:rPr>
        <w:t>2026-04-09</w:t>
      </w:r>
    </w:p>
    <w:p>
      <w:pPr>
        <w:spacing w:before="0" w:after="80"/>
        <w:jc w:val="center"/>
      </w:pPr>
      <w:r>
        <w:rPr>
          <w:rFonts w:ascii="Calibri" w:hAnsi="Calibri"/>
          <w:b/>
          <w:color w:val="404040"/>
          <w:sz w:val="20"/>
        </w:rPr>
        <w:t xml:space="preserve">Version:  </w:t>
      </w:r>
      <w:r>
        <w:rPr>
          <w:rFonts w:ascii="Calibri" w:hAnsi="Calibri"/>
          <w:b w:val="0"/>
          <w:color w:val="C55A11"/>
          <w:sz w:val="20"/>
        </w:rPr>
        <w:t>1.0 — AI-Generated Draft</w:t>
      </w:r>
    </w:p>
    <w:p>
      <w:r>
        <w:br w:type="page"/>
      </w:r>
    </w:p>
    <w:p>
      <w:pPr>
        <w:pStyle w:val="Heading1"/>
        <w:pBdr>
          <w:bottom w:val="single" w:sz="8" w:color="2E75B6" w:space="4"/>
        </w:pBdr>
        <w:spacing w:before="0" w:after="120"/>
      </w:pPr>
      <w:r>
        <w:rPr>
          <w:rFonts w:ascii="Calibri" w:hAnsi="Calibri"/>
          <w:b/>
          <w:color w:val="1F4E79"/>
          <w:sz w:val="36"/>
        </w:rPr>
        <w:t>Document Control</w:t>
      </w:r>
    </w:p>
    <w:p>
      <w:pPr>
        <w:pStyle w:val="Heading2"/>
        <w:spacing w:before="200" w:after="80"/>
      </w:pPr>
      <w:r>
        <w:rPr>
          <w:rFonts w:ascii="Calibri" w:hAnsi="Calibri"/>
          <w:b/>
          <w:color w:val="2E75B6"/>
          <w:sz w:val="28"/>
        </w:rPr>
        <w:t>Document Information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Field</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Detail</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Document Title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ERP Customisation Migration &amp; Modernisation Plan</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Source ERP Version</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EE 2021</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Target ERP Version</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Adaptive ERP 2022</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Number of Custom Modules</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Date Generated</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2026-04-09</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Confidentiality</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Confidential — For Authorised Recipients Only</w:t>
            </w:r>
          </w:p>
        </w:tc>
      </w:tr>
    </w:tbl>
    <w:p>
      <w:pPr>
        <w:spacing w:before="40" w:after="80"/>
        <w:jc w:val="both"/>
      </w:pPr>
      <w:r>
        <w:rPr>
          <w:rFonts w:ascii="Calibri" w:hAnsi="Calibri"/>
          <w:i/>
          <w:color w:val="C55A11"/>
          <w:sz w:val="20"/>
        </w:rPr>
        <w:t>DISCLAIMER: This document has been generated by the Mitra Central QAD-Zone AI engine. All content should be reviewed by a qualified QAD implementation professional before use in project planning or budgeting. Effort estimates are indicative only.</w:t>
      </w:r>
    </w:p>
    <w:p>
      <w:r>
        <w:br w:type="page"/>
      </w:r>
    </w:p>
    <w:p>
      <w:pPr>
        <w:pStyle w:val="Heading1"/>
        <w:pBdr>
          <w:bottom w:val="single" w:sz="8" w:color="2E75B6" w:space="4"/>
        </w:pBdr>
        <w:pageBreakBefore w:val="true"/>
        <w:spacing w:before="240" w:after="120"/>
      </w:pPr>
      <w:r>
        <w:rPr>
          <w:rFonts w:ascii="Calibri" w:hAnsi="Calibri"/>
          <w:b/>
          <w:color w:val="1F4E79"/>
          <w:sz w:val="36"/>
        </w:rPr>
        <w:t>Executive Summary</w:t>
      </w:r>
    </w:p>
    <w:p>
      <w:pPr>
        <w:spacing w:before="40" w:after="80"/>
        <w:jc w:val="both"/>
      </w:pPr>
      <w:r>
        <w:rPr>
          <w:rFonts w:ascii="Calibri" w:hAnsi="Calibri"/>
          <w:i w:val="0"/>
          <w:color w:val="000000"/>
          <w:sz w:val="20"/>
        </w:rPr>
        <w:t>The migration from QAD EE 2021 to QAD Adaptive ERP 2022 aims to leverage the enhanced capabilities and modern architecture of the new platform. This transition is crucial for maintaining competitive advantage and ensuring continued support from QAD. The migration is viable with a strategic approach, focusing on adapting existing customizations to fit within the new framework while exploring opportunities to replace custom modules with standard features where applicable.</w:t>
      </w:r>
    </w:p>
    <w:p>
      <w:pPr>
        <w:pStyle w:val="Heading2"/>
        <w:spacing w:before="200" w:after="80"/>
      </w:pPr>
      <w:r>
        <w:rPr>
          <w:rFonts w:ascii="Calibri" w:hAnsi="Calibri"/>
          <w:b/>
          <w:color w:val="2E75B6"/>
          <w:sz w:val="28"/>
        </w:rPr>
        <w:t>Key Findings at a Glance</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Metric</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Value</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Total Custom Modules Analysed</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 module</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Carry Forward</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 modules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Adapt / Re-engineer</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 module</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Replace with Standard</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 modules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Decommission</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 modules</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Total Estimated Migration Effort</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MEDIUM — approx. 20–30 person-days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Migration Approach</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PHASED</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Indicative Project Duration</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3 months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Overall Risk Rating</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MEDIUM</w:t>
            </w:r>
          </w:p>
        </w:tc>
      </w:tr>
    </w:tbl>
    <w:p>
      <w:pPr>
        <w:pStyle w:val="Heading2"/>
        <w:spacing w:before="200" w:after="80"/>
      </w:pPr>
      <w:r>
        <w:rPr>
          <w:rFonts w:ascii="Calibri" w:hAnsi="Calibri"/>
          <w:b/>
          <w:color w:val="2E75B6"/>
          <w:sz w:val="28"/>
        </w:rPr>
        <w:t>Strategic Recommendation</w:t>
      </w:r>
    </w:p>
    <w:p>
      <w:pPr>
        <w:spacing w:before="40" w:after="80"/>
        <w:jc w:val="both"/>
      </w:pPr>
      <w:r>
        <w:rPr>
          <w:rFonts w:ascii="Calibri" w:hAnsi="Calibri"/>
          <w:i w:val="0"/>
          <w:color w:val="000000"/>
          <w:sz w:val="20"/>
        </w:rPr>
        <w:t>The organization should initiate a phased migration approach, starting with a detailed analysis of custom modules to determine which can be replaced by standard features in QAD Adaptive ERP 2022. Immediate actions include setting up a dedicated migration team, conducting a gap analysis, and planning for comprehensive testing and training.</w:t>
      </w:r>
    </w:p>
    <w:p>
      <w:pPr>
        <w:pStyle w:val="Heading1"/>
        <w:pBdr>
          <w:bottom w:val="single" w:sz="8" w:color="2E75B6" w:space="4"/>
        </w:pBdr>
        <w:pageBreakBefore w:val="true"/>
        <w:spacing w:before="240" w:after="120"/>
      </w:pPr>
      <w:r>
        <w:rPr>
          <w:rFonts w:ascii="Calibri" w:hAnsi="Calibri"/>
          <w:b/>
          <w:color w:val="1F4E79"/>
          <w:sz w:val="36"/>
        </w:rPr>
        <w:t>Introduction</w:t>
      </w:r>
    </w:p>
    <w:p>
      <w:pPr>
        <w:pStyle w:val="Heading2"/>
        <w:spacing w:before="200" w:after="80"/>
      </w:pPr>
      <w:r>
        <w:rPr>
          <w:rFonts w:ascii="Calibri" w:hAnsi="Calibri"/>
          <w:b/>
          <w:color w:val="2E75B6"/>
          <w:sz w:val="28"/>
        </w:rPr>
        <w:t>Purpose of this Document</w:t>
      </w:r>
    </w:p>
    <w:p>
      <w:pPr>
        <w:spacing w:before="40" w:after="80"/>
        <w:jc w:val="both"/>
      </w:pPr>
      <w:r>
        <w:rPr>
          <w:rFonts w:ascii="Calibri" w:hAnsi="Calibri"/>
          <w:i w:val="0"/>
          <w:color w:val="000000"/>
          <w:sz w:val="20"/>
        </w:rPr>
        <w:t>This Migration &amp; Modernisation Plan supports planning the upgrade from QAD EE 2021 to QAD Adaptive ERP 2022.</w:t>
      </w:r>
    </w:p>
    <w:p>
      <w:pPr>
        <w:pStyle w:val="Heading2"/>
        <w:spacing w:before="200" w:after="80"/>
      </w:pPr>
      <w:r>
        <w:rPr>
          <w:rFonts w:ascii="Calibri" w:hAnsi="Calibri"/>
          <w:b/>
          <w:color w:val="2E75B6"/>
          <w:sz w:val="28"/>
        </w:rPr>
        <w:t>Scope</w:t>
      </w:r>
    </w:p>
    <w:p>
      <w:pPr>
        <w:spacing w:before="40" w:after="80"/>
        <w:jc w:val="both"/>
      </w:pPr>
      <w:r>
        <w:rPr>
          <w:rFonts w:ascii="Calibri" w:hAnsi="Calibri"/>
          <w:i w:val="0"/>
          <w:color w:val="000000"/>
          <w:sz w:val="20"/>
        </w:rPr>
        <w:t>The scope includes migrating all custom modules from QAD EE 2021 to QAD Adaptive ERP 2022, focusing on the DOA module. Out of scope are any third-party integrations not directly related to QAD ERP.</w:t>
      </w:r>
    </w:p>
    <w:p>
      <w:pPr>
        <w:pStyle w:val="Heading2"/>
        <w:spacing w:before="200" w:after="80"/>
      </w:pPr>
      <w:r>
        <w:rPr>
          <w:rFonts w:ascii="Calibri" w:hAnsi="Calibri"/>
          <w:b/>
          <w:color w:val="2E75B6"/>
          <w:sz w:val="28"/>
        </w:rPr>
        <w:t>How This Document Was Generated</w:t>
      </w:r>
    </w:p>
    <w:p>
      <w:pPr>
        <w:pStyle w:val="ListNumber"/>
        <w:spacing w:before="20" w:after="20"/>
      </w:pPr>
      <w:r>
        <w:rPr>
          <w:rFonts w:ascii="Calibri" w:hAnsi="Calibri"/>
          <w:color w:val="000000"/>
          <w:sz w:val="20"/>
        </w:rPr>
        <w:t>Static analysis of all custom source files to identify module names, entry points, and QAD API dependencies.</w:t>
      </w:r>
    </w:p>
    <w:p>
      <w:pPr>
        <w:pStyle w:val="ListNumber"/>
        <w:spacing w:before="20" w:after="20"/>
      </w:pPr>
      <w:r>
        <w:rPr>
          <w:rFonts w:ascii="Calibri" w:hAnsi="Calibri"/>
          <w:color w:val="000000"/>
          <w:sz w:val="20"/>
        </w:rPr>
        <w:t>Web research to identify QAD product changes between QAD EE 2021 and QAD Adaptive ERP 2022.</w:t>
      </w:r>
    </w:p>
    <w:p>
      <w:pPr>
        <w:pStyle w:val="ListNumber"/>
        <w:spacing w:before="20" w:after="20"/>
      </w:pPr>
      <w:r>
        <w:rPr>
          <w:rFonts w:ascii="Calibri" w:hAnsi="Calibri"/>
          <w:color w:val="000000"/>
          <w:sz w:val="20"/>
        </w:rPr>
        <w:t>LLM-based reasoning to determine the recommended disposition and effort estimate for each module.</w:t>
      </w:r>
    </w:p>
    <w:p>
      <w:pPr>
        <w:pStyle w:val="ListNumber"/>
        <w:spacing w:before="20" w:after="20"/>
      </w:pPr>
      <w:r>
        <w:rPr>
          <w:rFonts w:ascii="Calibri" w:hAnsi="Calibri"/>
          <w:color w:val="000000"/>
          <w:sz w:val="20"/>
        </w:rPr>
        <w:t>Aggregation of findings into this structured report.</w:t>
      </w:r>
    </w:p>
    <w:p>
      <w:pPr>
        <w:spacing w:before="40" w:after="80"/>
        <w:jc w:val="both"/>
      </w:pPr>
      <w:r>
        <w:rPr>
          <w:rFonts w:ascii="Calibri" w:hAnsi="Calibri"/>
          <w:i/>
          <w:color w:val="C55A11"/>
          <w:sz w:val="20"/>
        </w:rPr>
        <w:t>NOTE: This is an AI-generated first draft. All findings must be reviewed by a qualified QAD architect before use in project planning.</w:t>
      </w:r>
    </w:p>
    <w:p>
      <w:pPr>
        <w:pStyle w:val="Heading1"/>
        <w:pBdr>
          <w:bottom w:val="single" w:sz="8" w:color="2E75B6" w:space="4"/>
        </w:pBdr>
        <w:pageBreakBefore w:val="true"/>
        <w:spacing w:before="240" w:after="120"/>
      </w:pPr>
      <w:r>
        <w:rPr>
          <w:rFonts w:ascii="Calibri" w:hAnsi="Calibri"/>
          <w:b/>
          <w:color w:val="1F4E79"/>
          <w:sz w:val="36"/>
        </w:rPr>
        <w:t>Source and Target System Overview</w:t>
      </w:r>
    </w:p>
    <w:p>
      <w:pPr>
        <w:pStyle w:val="Heading2"/>
        <w:spacing w:before="200" w:after="80"/>
      </w:pPr>
      <w:r>
        <w:rPr>
          <w:rFonts w:ascii="Calibri" w:hAnsi="Calibri"/>
          <w:b/>
          <w:color w:val="2E75B6"/>
          <w:sz w:val="28"/>
        </w:rPr>
        <w:t>Source System: QAD EE 2021</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Attribute</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Detail</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Product Name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EE 2021</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Architecture</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Monolithic architecture with integrated modules and custom Progress 4GL code.</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Database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Progress OpenEdge 11.7</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UI Framework</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Character-based UI with some GUI elements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Custom Code Base Size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16 source files / approx. 150,000 lines of code</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Key Business Areas</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Finance, Procurement</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Current Support Status</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Supported until 2024</w:t>
            </w:r>
          </w:p>
        </w:tc>
      </w:tr>
    </w:tbl>
    <w:p>
      <w:pPr>
        <w:pStyle w:val="Heading2"/>
        <w:spacing w:before="200" w:after="80"/>
      </w:pPr>
      <w:r>
        <w:rPr>
          <w:rFonts w:ascii="Calibri" w:hAnsi="Calibri"/>
          <w:b/>
          <w:color w:val="2E75B6"/>
          <w:sz w:val="28"/>
        </w:rPr>
        <w:t>Target System: QAD Adaptive ERP 2022</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Attribute</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Detail</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Product Name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Adaptive ERP 2022</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Architecture</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Service-oriented architecture with cloud capabilities and enhanced integration options.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Database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Progress OpenEdge 12.2</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UI Framework</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Web-based UI with responsive design</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Custom Code Approach</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Customizations via QAD Cloud Framework (QCF) and REST APIs</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Key New Capabilities</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Enhanced workflow automation, improved reporting tools, and better integration capabilities.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Deployment Model</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Hybrid</w:t>
            </w:r>
          </w:p>
        </w:tc>
      </w:tr>
    </w:tbl>
    <w:p>
      <w:pPr>
        <w:pStyle w:val="Heading2"/>
        <w:spacing w:before="200" w:after="80"/>
      </w:pPr>
      <w:r>
        <w:rPr>
          <w:rFonts w:ascii="Calibri" w:hAnsi="Calibri"/>
          <w:b/>
          <w:color w:val="2E75B6"/>
          <w:sz w:val="28"/>
        </w:rPr>
        <w:t>Key Architectural Changes Between Versions</w:t>
      </w:r>
    </w:p>
    <w:p>
      <w:pPr>
        <w:spacing w:before="40" w:after="80"/>
        <w:jc w:val="both"/>
      </w:pPr>
      <w:r>
        <w:rPr>
          <w:rFonts w:ascii="Calibri" w:hAnsi="Calibri"/>
          <w:i w:val="0"/>
          <w:color w:val="000000"/>
          <w:sz w:val="20"/>
        </w:rPr>
        <w:t>QAD Adaptive ERP 2022 introduces a service-oriented architecture, allowing for more modular and scalable deployments. The new version supports cloud-based operations, offering flexibility in deployment and maintenance. Enhanced integration capabilities through REST APIs and the QAD Cloud Framework (QCF) enable easier customization and third-party integration. The UI has been modernized to a web-based, responsive design, improving user experience and accessibility.</w:t>
      </w:r>
    </w:p>
    <w:p>
      <w:pPr>
        <w:pStyle w:val="Heading1"/>
        <w:pBdr>
          <w:bottom w:val="single" w:sz="8" w:color="2E75B6" w:space="4"/>
        </w:pBdr>
        <w:pageBreakBefore w:val="true"/>
        <w:spacing w:before="240" w:after="120"/>
      </w:pPr>
      <w:r>
        <w:rPr>
          <w:rFonts w:ascii="Calibri" w:hAnsi="Calibri"/>
          <w:b/>
          <w:color w:val="1F4E79"/>
          <w:sz w:val="36"/>
        </w:rPr>
        <w:t>Customisation Inventory and Summary</w:t>
      </w:r>
    </w:p>
    <w:p>
      <w:pPr>
        <w:spacing w:before="40" w:after="80"/>
        <w:jc w:val="both"/>
      </w:pPr>
      <w:r>
        <w:rPr>
          <w:rFonts w:ascii="Calibri" w:hAnsi="Calibri"/>
          <w:i w:val="0"/>
          <w:color w:val="000000"/>
          <w:sz w:val="20"/>
        </w:rPr>
        <w:t>The following table provides a complete inventory of all custom Progress 4GL modules identified in the source environment.</w:t>
      </w:r>
    </w:p>
    <w:p>
      <w:pPr>
        <w:pStyle w:val="Heading2"/>
        <w:spacing w:before="200" w:after="80"/>
      </w:pPr>
      <w:r>
        <w:rPr>
          <w:rFonts w:ascii="Calibri" w:hAnsi="Calibri"/>
          <w:b/>
          <w:color w:val="2E75B6"/>
          <w:sz w:val="28"/>
        </w:rPr>
        <w:t>Master Customisation Register</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Module Name</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Business Area</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Type</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Files</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Complexity</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Action</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Priority</w:t>
            </w:r>
          </w:p>
        </w:tc>
      </w:tr>
      <w:tr>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1</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000000"/>
                <w:sz w:val="18"/>
              </w:rPr>
              <w:t>DOA</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Finance</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Approval</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16</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C00000"/>
                <w:sz w:val="18"/>
              </w:rPr>
              <w:t>High</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7030A0"/>
                <w:sz w:val="18"/>
              </w:rPr>
              <w:t>Adapt</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P1 – Business Critical</w:t>
            </w:r>
          </w:p>
        </w:tc>
      </w:tr>
    </w:tbl>
    <w:p>
      <w:pPr>
        <w:pStyle w:val="Heading2"/>
        <w:spacing w:before="200" w:after="80"/>
      </w:pPr>
      <w:r>
        <w:rPr>
          <w:rFonts w:ascii="Calibri" w:hAnsi="Calibri"/>
          <w:b/>
          <w:color w:val="2E75B6"/>
          <w:sz w:val="28"/>
        </w:rPr>
        <w:t>Summary by Action Type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Action</w:t>
            </w:r>
          </w:p>
        </w:tc>
        <w:tc>
          <w:tcPr>
            <w:tcW w:type="dxa" w:w="300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Module Count</w:t>
            </w:r>
          </w:p>
        </w:tc>
        <w:tc>
          <w:tcPr>
            <w:tcW w:type="dxa" w:w="300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 of Total</w:t>
            </w:r>
          </w:p>
        </w:tc>
      </w:tr>
      <w:tr>
        <w:tc>
          <w:tcPr>
            <w:tcW w:type="dxa" w:w="300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Carry Forward</w:t>
            </w:r>
          </w:p>
        </w:tc>
        <w:tc>
          <w:tcPr>
            <w:tcW w:type="dxa" w:w="300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w:t>
            </w:r>
          </w:p>
        </w:tc>
        <w:tc>
          <w:tcPr>
            <w:tcW w:type="dxa" w:w="300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w:t>
            </w:r>
          </w:p>
        </w:tc>
      </w:tr>
      <w:tr>
        <w:tc>
          <w:tcPr>
            <w:tcW w:type="dxa" w:w="3009"/>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Adapt</w:t>
            </w:r>
          </w:p>
        </w:tc>
        <w:tc>
          <w:tcPr>
            <w:tcW w:type="dxa" w:w="3009"/>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w:t>
            </w:r>
          </w:p>
        </w:tc>
        <w:tc>
          <w:tcPr>
            <w:tcW w:type="dxa" w:w="3009"/>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100%</w:t>
            </w:r>
          </w:p>
        </w:tc>
      </w:tr>
      <w:tr>
        <w:tc>
          <w:tcPr>
            <w:tcW w:type="dxa" w:w="300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Replace with Standard</w:t>
            </w:r>
          </w:p>
        </w:tc>
        <w:tc>
          <w:tcPr>
            <w:tcW w:type="dxa" w:w="300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w:t>
            </w:r>
          </w:p>
        </w:tc>
        <w:tc>
          <w:tcPr>
            <w:tcW w:type="dxa" w:w="300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w:t>
            </w:r>
          </w:p>
        </w:tc>
      </w:tr>
      <w:tr>
        <w:tc>
          <w:tcPr>
            <w:tcW w:type="dxa" w:w="3009"/>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Decommission</w:t>
            </w:r>
          </w:p>
        </w:tc>
        <w:tc>
          <w:tcPr>
            <w:tcW w:type="dxa" w:w="3009"/>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w:t>
            </w:r>
          </w:p>
        </w:tc>
        <w:tc>
          <w:tcPr>
            <w:tcW w:type="dxa" w:w="3009"/>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w:t>
            </w:r>
          </w:p>
        </w:tc>
      </w:tr>
    </w:tbl>
    <w:p>
      <w:pPr>
        <w:pStyle w:val="Heading1"/>
        <w:pBdr>
          <w:bottom w:val="single" w:sz="8" w:color="2E75B6" w:space="4"/>
        </w:pBdr>
        <w:pageBreakBefore w:val="true"/>
        <w:spacing w:before="240" w:after="120"/>
      </w:pPr>
      <w:r>
        <w:rPr>
          <w:rFonts w:ascii="Calibri" w:hAnsi="Calibri"/>
          <w:b/>
          <w:color w:val="1F4E79"/>
          <w:sz w:val="36"/>
        </w:rPr>
        <w:t>Per-Module Detailed Analysis</w:t>
      </w:r>
    </w:p>
    <w:p>
      <w:pPr>
        <w:pStyle w:val="Heading2"/>
        <w:spacing w:before="200" w:after="80"/>
      </w:pPr>
      <w:r>
        <w:rPr>
          <w:rFonts w:ascii="Calibri" w:hAnsi="Calibri"/>
          <w:b/>
          <w:color w:val="2E75B6"/>
          <w:sz w:val="28"/>
        </w:rPr>
        <w:t>Module 1: DOA</w:t>
      </w:r>
    </w:p>
    <w:p>
      <w:pPr>
        <w:pStyle w:val="Heading3"/>
        <w:spacing w:before="160" w:after="60"/>
      </w:pPr>
      <w:r>
        <w:rPr>
          <w:rFonts w:ascii="Calibri" w:hAnsi="Calibri"/>
          <w:b/>
          <w:color w:val="000000"/>
          <w:sz w:val="24"/>
        </w:rPr>
        <w:t>Module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Attribute</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Detail</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Business Area</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Finance</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Module Type</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Approval</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Primary Source Files</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xxapprupd.i, xxapprvalupd.i, xxdispmsg.p, xxdoaapprexp.p, xxdoaapprload.p, xxdoaapprmt.p, xxdoaappr_mstr.df, xxdoahist.p, xxdoah_hist.df, xxdoaproc.p, xxdoaruleexp.p, xxdoaruleload.p, xxdoarulemt.p, xxdoarule_mstr.df, xxnotifyupd.i, xxruleupd.i</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Total Files</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16</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Lines of Code (approx.)</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~150,000</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Code Complexity</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High</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API Dependencies</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None identified</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External Integrations</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None</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Last Known Modification</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Unknown — no source control metadata</w:t>
            </w:r>
          </w:p>
        </w:tc>
      </w:tr>
    </w:tbl>
    <w:p>
      <w:pPr>
        <w:pStyle w:val="Heading3"/>
        <w:spacing w:before="160" w:after="60"/>
      </w:pPr>
      <w:r>
        <w:rPr>
          <w:rFonts w:ascii="Calibri" w:hAnsi="Calibri"/>
          <w:b/>
          <w:color w:val="000000"/>
          <w:sz w:val="24"/>
        </w:rPr>
        <w:t>Business Purpose</w:t>
      </w:r>
    </w:p>
    <w:p>
      <w:pPr>
        <w:spacing w:before="40" w:after="80"/>
        <w:jc w:val="both"/>
      </w:pPr>
      <w:r>
        <w:rPr>
          <w:rFonts w:ascii="Calibri" w:hAnsi="Calibri"/>
          <w:i w:val="0"/>
          <w:color w:val="000000"/>
          <w:sz w:val="20"/>
        </w:rPr>
        <w:t>The DOA module manages the delegation of authority for financial approvals, ensuring that transactions are reviewed and approved by the appropriate personnel based on predefined rules.</w:t>
      </w:r>
    </w:p>
    <w:p>
      <w:pPr>
        <w:pStyle w:val="Heading3"/>
        <w:spacing w:before="160" w:after="60"/>
      </w:pPr>
      <w:r>
        <w:rPr>
          <w:rFonts w:ascii="Calibri" w:hAnsi="Calibri"/>
          <w:b/>
          <w:color w:val="000000"/>
          <w:sz w:val="24"/>
        </w:rPr>
        <w:t>Technical Architecture</w:t>
      </w:r>
    </w:p>
    <w:p>
      <w:pPr>
        <w:spacing w:before="40" w:after="80"/>
        <w:jc w:val="both"/>
      </w:pPr>
      <w:r>
        <w:rPr>
          <w:rFonts w:ascii="Calibri" w:hAnsi="Calibri"/>
          <w:i w:val="0"/>
          <w:color w:val="000000"/>
          <w:sz w:val="20"/>
        </w:rPr>
        <w:t>The module is implemented using Progress 4GL, with custom scripts for managing approval workflows and data validation. It interfaces with the code_mstr table for rule validation.</w:t>
      </w:r>
    </w:p>
    <w:p>
      <w:pPr>
        <w:pStyle w:val="Heading3"/>
        <w:spacing w:before="160" w:after="60"/>
      </w:pPr>
      <w:r>
        <w:rPr>
          <w:rFonts w:ascii="Calibri" w:hAnsi="Calibri"/>
          <w:b/>
          <w:color w:val="000000"/>
          <w:sz w:val="24"/>
        </w:rPr>
        <w:t>Impact Assessment for QAD Adaptive ERP 2022</w:t>
      </w:r>
    </w:p>
    <w:p>
      <w:pPr>
        <w:spacing w:before="40" w:after="80"/>
        <w:jc w:val="both"/>
      </w:pPr>
      <w:r>
        <w:rPr>
          <w:rFonts w:ascii="Calibri" w:hAnsi="Calibri"/>
          <w:i w:val="0"/>
          <w:color w:val="000000"/>
          <w:sz w:val="20"/>
        </w:rPr>
        <w:t>QAD Adaptive ERP 2022 requires adaptation of custom scripts to align with the new service-oriented architecture and UI framework.</w:t>
      </w:r>
    </w:p>
    <w:p>
      <w:pPr>
        <w:pStyle w:val="Heading3"/>
        <w:spacing w:before="160" w:after="60"/>
      </w:pPr>
      <w:r>
        <w:rPr>
          <w:rFonts w:ascii="Calibri" w:hAnsi="Calibri"/>
          <w:b/>
          <w:color w:val="000000"/>
          <w:sz w:val="24"/>
        </w:rPr>
        <w:t>Recommended Action</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Recommended Action</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i w:val="0"/>
                <w:color w:val="7030A0"/>
                <w:sz w:val="18"/>
              </w:rPr>
              <w:t>Adapt</w:t>
            </w:r>
          </w:p>
        </w:tc>
      </w:tr>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Rationale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The DOA module is heavily customized and integral to the finance approval processes. It requires adaptation to fit within the new architecture of QAD Adaptive ERP 2022.</w:t>
            </w:r>
          </w:p>
        </w:tc>
      </w:tr>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Standard QAD Feature (Replace)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N/A</w:t>
            </w:r>
          </w:p>
        </w:tc>
      </w:tr>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Effort Estimate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High (15–40 days)</w:t>
            </w:r>
          </w:p>
        </w:tc>
      </w:tr>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Priority</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P1 – Business Critical</w:t>
            </w:r>
          </w:p>
        </w:tc>
      </w:tr>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Dependencies</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None</w:t>
            </w:r>
          </w:p>
        </w:tc>
      </w:tr>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Risk if Not Migrated</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C00000"/>
                <w:sz w:val="18"/>
              </w:rPr>
              <w:t>Significant disruption to finance approval processes, leading to potential compliance issues.</w:t>
            </w:r>
          </w:p>
        </w:tc>
      </w:tr>
    </w:tbl>
    <w:p>
      <w:pPr>
        <w:pStyle w:val="Heading3"/>
        <w:spacing w:before="160" w:after="60"/>
      </w:pPr>
      <w:r>
        <w:rPr>
          <w:rFonts w:ascii="Calibri" w:hAnsi="Calibri"/>
          <w:b/>
          <w:color w:val="000000"/>
          <w:sz w:val="24"/>
        </w:rPr>
        <w:t>Migration Work Breakdown</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w:t>
            </w:r>
          </w:p>
        </w:tc>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Task Description</w:t>
            </w:r>
          </w:p>
        </w:tc>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Role</w:t>
            </w:r>
          </w:p>
        </w:tc>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Effort</w:t>
            </w:r>
          </w:p>
        </w:tc>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Notes / Dependencies</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Analyze current DOA module</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Business Analyst</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2d</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Review existing workflows and rules.</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Develop new approval workflows</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Developer</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15d</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Adapt workflows to new architecture.</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3</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Test adapted module</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 Tester</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5d</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Ensure functionality matches existing system.</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4</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Deploy adapted module</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Deployment Engineer</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2d</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Coordinate with IT for deployment.</w:t>
            </w:r>
          </w:p>
        </w:tc>
      </w:tr>
    </w:tbl>
    <w:p>
      <w:pPr>
        <w:pStyle w:val="Heading3"/>
        <w:spacing w:before="160" w:after="60"/>
      </w:pPr>
      <w:r>
        <w:rPr>
          <w:rFonts w:ascii="Calibri" w:hAnsi="Calibri"/>
          <w:b/>
          <w:color w:val="000000"/>
          <w:sz w:val="24"/>
        </w:rPr>
        <w:t>Testing Requirements</w:t>
      </w:r>
    </w:p>
    <w:p>
      <w:pPr>
        <w:spacing w:before="40" w:after="80"/>
        <w:jc w:val="both"/>
      </w:pPr>
      <w:r>
        <w:rPr>
          <w:rFonts w:ascii="Calibri" w:hAnsi="Calibri"/>
          <w:i w:val="0"/>
          <w:color w:val="000000"/>
          <w:sz w:val="20"/>
        </w:rPr>
        <w:t>Test cases should cover all approval scenarios, including error handling for invalid codes and boundary conditions for rule validation.</w:t>
      </w:r>
    </w:p>
    <w:p>
      <w:pPr>
        <w:pStyle w:val="Heading1"/>
        <w:pBdr>
          <w:bottom w:val="single" w:sz="8" w:color="2E75B6" w:space="4"/>
        </w:pBdr>
        <w:pageBreakBefore w:val="true"/>
        <w:spacing w:before="240" w:after="120"/>
      </w:pPr>
      <w:r>
        <w:rPr>
          <w:rFonts w:ascii="Calibri" w:hAnsi="Calibri"/>
          <w:b/>
          <w:color w:val="1F4E79"/>
          <w:sz w:val="36"/>
        </w:rPr>
        <w:t>Gap Analysis</w:t>
      </w:r>
    </w:p>
    <w:p>
      <w:pPr>
        <w:spacing w:before="40" w:after="80"/>
        <w:jc w:val="both"/>
      </w:pPr>
      <w:r>
        <w:rPr>
          <w:rFonts w:ascii="Calibri" w:hAnsi="Calibri"/>
          <w:i w:val="0"/>
          <w:color w:val="000000"/>
          <w:sz w:val="20"/>
        </w:rPr>
        <w:t>The gap analysis focuses on identifying differences between the current customizations in QAD EE 2021 and the standard features available in QAD Adaptive ERP 2022. This analysis will help determine areas where custom code can be replaced or needs adaptation.</w:t>
      </w:r>
    </w:p>
    <w:p>
      <w:pPr>
        <w:pStyle w:val="Heading2"/>
        <w:spacing w:before="200" w:after="80"/>
      </w:pPr>
      <w:r>
        <w:rPr>
          <w:rFonts w:ascii="Calibri" w:hAnsi="Calibri"/>
          <w:b/>
          <w:color w:val="2E75B6"/>
          <w:sz w:val="28"/>
        </w:rPr>
        <w:t>New Standard Features to Leverage</w:t>
      </w:r>
    </w:p>
    <w:p>
      <w:pPr>
        <w:spacing w:before="40" w:after="80"/>
        <w:jc w:val="both"/>
      </w:pPr>
      <w:r>
        <w:rPr>
          <w:rFonts w:ascii="Calibri" w:hAnsi="Calibri"/>
          <w:i w:val="0"/>
          <w:color w:val="000000"/>
          <w:sz w:val="20"/>
        </w:rPr>
        <w:t>QAD Adaptive ERP 2022 introduces enhanced workflow automation and improved reporting tools, which can significantly benefit the organization by streamlining processes and providing better insights.</w:t>
      </w:r>
    </w:p>
    <w:p>
      <w:pPr>
        <w:pStyle w:val="Heading1"/>
        <w:pBdr>
          <w:bottom w:val="single" w:sz="8" w:color="2E75B6" w:space="4"/>
        </w:pBdr>
        <w:pageBreakBefore w:val="true"/>
        <w:spacing w:before="240" w:after="120"/>
      </w:pPr>
      <w:r>
        <w:rPr>
          <w:rFonts w:ascii="Calibri" w:hAnsi="Calibri"/>
          <w:b/>
          <w:color w:val="1F4E79"/>
          <w:sz w:val="36"/>
        </w:rPr>
        <w:t>Migration Strategy</w:t>
      </w:r>
    </w:p>
    <w:p>
      <w:pPr>
        <w:pStyle w:val="Heading2"/>
        <w:spacing w:before="200" w:after="80"/>
      </w:pPr>
      <w:r>
        <w:rPr>
          <w:rFonts w:ascii="Calibri" w:hAnsi="Calibri"/>
          <w:b/>
          <w:color w:val="2E75B6"/>
          <w:sz w:val="28"/>
        </w:rPr>
        <w:t>Recommended Approach</w:t>
      </w:r>
    </w:p>
    <w:p>
      <w:pPr>
        <w:spacing w:before="40" w:after="80"/>
        <w:jc w:val="both"/>
      </w:pPr>
      <w:r>
        <w:rPr>
          <w:rFonts w:ascii="Calibri" w:hAnsi="Calibri"/>
          <w:i w:val="0"/>
          <w:color w:val="000000"/>
          <w:sz w:val="20"/>
        </w:rPr>
        <w:t>A phased migration approach is recommended to minimize risk and allow for thorough testing of each module before full deployment. This approach enables the organization to address any issues incrementally and ensures a smoother transition to the new system.</w:t>
      </w:r>
    </w:p>
    <w:p>
      <w:pPr>
        <w:pStyle w:val="Heading1"/>
        <w:pBdr>
          <w:bottom w:val="single" w:sz="8" w:color="2E75B6" w:space="4"/>
        </w:pBdr>
        <w:pageBreakBefore w:val="true"/>
        <w:spacing w:before="240" w:after="120"/>
      </w:pPr>
      <w:r>
        <w:rPr>
          <w:rFonts w:ascii="Calibri" w:hAnsi="Calibri"/>
          <w:b/>
          <w:color w:val="1F4E79"/>
          <w:sz w:val="36"/>
        </w:rPr>
        <w:t>Effort and Timeline Estimate</w:t>
      </w:r>
    </w:p>
    <w:p>
      <w:pPr>
        <w:spacing w:before="40" w:after="80"/>
        <w:jc w:val="both"/>
      </w:pPr>
      <w:r>
        <w:rPr>
          <w:rFonts w:ascii="Calibri" w:hAnsi="Calibri"/>
          <w:i/>
          <w:color w:val="C55A11"/>
          <w:sz w:val="20"/>
        </w:rPr>
        <w:t>The following estimates are indicative only, based on automated code analysis and AI reasoning. Refine through a formal scoping workshop before use in a project budget.</w:t>
      </w:r>
    </w:p>
    <w:p>
      <w:pPr>
        <w:pStyle w:val="Heading2"/>
        <w:spacing w:before="200" w:after="80"/>
      </w:pPr>
      <w:r>
        <w:rPr>
          <w:rFonts w:ascii="Calibri" w:hAnsi="Calibri"/>
          <w:b/>
          <w:color w:val="2E75B6"/>
          <w:sz w:val="28"/>
        </w:rPr>
        <w:t>Effort Estimate by Module</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Module Name</w:t>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Action</w:t>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Analysis (d)</w:t>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Dev (d)</w:t>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Test (d)</w:t>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Deploy (d)</w:t>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Total (d)</w:t>
            </w:r>
          </w:p>
        </w:tc>
      </w:tr>
      <w:tr>
        <w:tc>
          <w:tcPr>
            <w:tcW w:type="dxa" w:w="128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000000"/>
                <w:sz w:val="18"/>
              </w:rPr>
              <w:t>DOA</w:t>
            </w:r>
          </w:p>
        </w:tc>
        <w:tc>
          <w:tcPr>
            <w:tcW w:type="dxa" w:w="128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7030A0"/>
                <w:sz w:val="18"/>
              </w:rPr>
              <w:t>Adapt</w:t>
            </w:r>
          </w:p>
        </w:tc>
        <w:tc>
          <w:tcPr>
            <w:tcW w:type="dxa" w:w="128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5</w:t>
            </w:r>
          </w:p>
        </w:tc>
        <w:tc>
          <w:tcPr>
            <w:tcW w:type="dxa" w:w="128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20</w:t>
            </w:r>
          </w:p>
        </w:tc>
        <w:tc>
          <w:tcPr>
            <w:tcW w:type="dxa" w:w="128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10</w:t>
            </w:r>
          </w:p>
        </w:tc>
        <w:tc>
          <w:tcPr>
            <w:tcW w:type="dxa" w:w="128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2</w:t>
            </w:r>
          </w:p>
        </w:tc>
        <w:tc>
          <w:tcPr>
            <w:tcW w:type="dxa" w:w="1289"/>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000000"/>
                <w:sz w:val="18"/>
              </w:rPr>
              <w:t>37.0</w:t>
            </w:r>
          </w:p>
        </w:tc>
      </w:tr>
      <w:tr>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TOTAL</w:t>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r>
          </w:p>
        </w:tc>
        <w:tc>
          <w:tcPr>
            <w:tcW w:type="dxa" w:w="1289"/>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~37</w:t>
            </w:r>
          </w:p>
        </w:tc>
      </w:tr>
    </w:tbl>
    <w:p>
      <w:pPr>
        <w:pStyle w:val="Heading2"/>
        <w:spacing w:before="200" w:after="80"/>
      </w:pPr>
      <w:r>
        <w:rPr>
          <w:rFonts w:ascii="Calibri" w:hAnsi="Calibri"/>
          <w:b/>
          <w:color w:val="2E75B6"/>
          <w:sz w:val="28"/>
        </w:rPr>
        <w:t>Indicative Timeline</w:t>
      </w:r>
    </w:p>
    <w:p>
      <w:pPr>
        <w:spacing w:before="40" w:after="80"/>
        <w:jc w:val="both"/>
      </w:pPr>
      <w:r>
        <w:rPr>
          <w:rFonts w:ascii="Calibri" w:hAnsi="Calibri"/>
          <w:i w:val="0"/>
          <w:color w:val="000000"/>
          <w:sz w:val="20"/>
        </w:rPr>
        <w:t>The project will kick off in November 2023, with the gap analysis completed by mid-November. Development and testing phases will run through December, with UAT sign-off expected by January 2024. The go-live date is targeted for February 2024.</w:t>
      </w:r>
    </w:p>
    <w:p>
      <w:pPr>
        <w:pStyle w:val="Heading1"/>
        <w:pBdr>
          <w:bottom w:val="single" w:sz="8" w:color="2E75B6" w:space="4"/>
        </w:pBdr>
        <w:pageBreakBefore w:val="true"/>
        <w:spacing w:before="240" w:after="120"/>
      </w:pPr>
      <w:r>
        <w:rPr>
          <w:rFonts w:ascii="Calibri" w:hAnsi="Calibri"/>
          <w:b/>
          <w:color w:val="1F4E79"/>
          <w:sz w:val="36"/>
        </w:rPr>
        <w:t>Risk Register</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ID</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Risk Description</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Impact</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Likelihood (1–5)</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Impact (1–5)</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Score</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Rating</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Mitigation</w:t>
            </w:r>
          </w:p>
        </w:tc>
      </w:tr>
      <w:tr>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R01</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Key Progress 4GL developer unavailable during migration</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Delays to Adapt modules; go-live slip</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5</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00000"/>
                <w:sz w:val="18"/>
              </w:rPr>
              <w:t>15</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00000"/>
                <w:sz w:val="18"/>
              </w:rPr>
              <w:t>HIGH</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Pre-book developer resource; identify backup</w:t>
            </w:r>
          </w:p>
        </w:tc>
      </w:tr>
      <w:tr>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R02</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QAD target version API incompatible with assumed approach</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Re-engineering effort higher than estimated</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2</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4</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8</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MEDIUM</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Validate API assumptions in sandbox before development</w:t>
            </w:r>
          </w:p>
        </w:tc>
      </w:tr>
      <w:tr>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Business stakeholder unavailability for UAT</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UAT sign-off delayed; go-live pushed</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9</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MEDIUM</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Schedule UAT windows at project kick-off</w:t>
            </w:r>
          </w:p>
        </w:tc>
      </w:tr>
      <w:tr>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R04</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Undocumented custom code found during analysis</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Scope creep; additional effort</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2</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375623"/>
                <w:sz w:val="18"/>
              </w:rPr>
              <w:t>6</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375623"/>
                <w:sz w:val="18"/>
              </w:rPr>
              <w:t>LOW</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Run full Mitra Central scan before project freeze</w:t>
            </w:r>
          </w:p>
        </w:tc>
      </w:tr>
      <w:tr>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R05</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Potential data integrity issues during migration of custom approval workflows.</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Could lead to incorrect approval processes and financial discrepancies.</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4</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00000"/>
                <w:sz w:val="18"/>
              </w:rPr>
              <w:t>12</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00000"/>
                <w:sz w:val="18"/>
              </w:rPr>
              <w:t>HIGH</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Conduct thorough data validation and testing post-migration.</w:t>
            </w:r>
          </w:p>
        </w:tc>
      </w:tr>
    </w:tbl>
    <w:p>
      <w:pPr>
        <w:pStyle w:val="Heading1"/>
        <w:pBdr>
          <w:bottom w:val="single" w:sz="8" w:color="2E75B6" w:space="4"/>
        </w:pBdr>
        <w:pageBreakBefore w:val="true"/>
        <w:spacing w:before="240" w:after="120"/>
      </w:pPr>
      <w:r>
        <w:rPr>
          <w:rFonts w:ascii="Calibri" w:hAnsi="Calibri"/>
          <w:b/>
          <w:color w:val="1F4E79"/>
          <w:sz w:val="36"/>
        </w:rPr>
        <w:t>Recommendations and Next Steps</w:t>
      </w:r>
    </w:p>
    <w:p>
      <w:pPr>
        <w:spacing w:before="40" w:after="80"/>
        <w:jc w:val="both"/>
      </w:pPr>
      <w:r>
        <w:rPr>
          <w:rFonts w:ascii="Calibri" w:hAnsi="Calibri"/>
          <w:i w:val="0"/>
          <w:color w:val="000000"/>
          <w:sz w:val="20"/>
        </w:rPr>
        <w:t>The following recommendations are prioritized to ensure a successful migration and adoption of QAD Adaptive ERP 2022.</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w:t>
            </w:r>
          </w:p>
        </w:tc>
        <w:tc>
          <w:tcPr>
            <w:tcW w:type="dxa" w:w="2256"/>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Recommendation</w:t>
            </w:r>
          </w:p>
        </w:tc>
        <w:tc>
          <w:tcPr>
            <w:tcW w:type="dxa" w:w="2256"/>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Owner</w:t>
            </w:r>
          </w:p>
        </w:tc>
        <w:tc>
          <w:tcPr>
            <w:tcW w:type="dxa" w:w="2256"/>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Target Date</w:t>
            </w:r>
          </w:p>
        </w:tc>
      </w:tr>
      <w:tr>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w:t>
            </w:r>
          </w:p>
        </w:tc>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Establish a dedicated migration team</w:t>
            </w:r>
          </w:p>
        </w:tc>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CIO</w:t>
            </w:r>
          </w:p>
        </w:tc>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2023-11-01</w:t>
            </w:r>
          </w:p>
        </w:tc>
      </w:tr>
      <w:tr>
        <w:tc>
          <w:tcPr>
            <w:tcW w:type="dxa" w:w="2256"/>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w:t>
            </w:r>
          </w:p>
        </w:tc>
        <w:tc>
          <w:tcPr>
            <w:tcW w:type="dxa" w:w="2256"/>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Conduct a detailed gap analysis</w:t>
            </w:r>
          </w:p>
        </w:tc>
        <w:tc>
          <w:tcPr>
            <w:tcW w:type="dxa" w:w="2256"/>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Business Analyst</w:t>
            </w:r>
          </w:p>
        </w:tc>
        <w:tc>
          <w:tcPr>
            <w:tcW w:type="dxa" w:w="2256"/>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2023-11-15</w:t>
            </w:r>
          </w:p>
        </w:tc>
      </w:tr>
      <w:tr>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3</w:t>
            </w:r>
          </w:p>
        </w:tc>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Plan comprehensive training sessions for end-users</w:t>
            </w:r>
          </w:p>
        </w:tc>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HR</w:t>
            </w:r>
          </w:p>
        </w:tc>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2023-12-01</w:t>
            </w:r>
          </w:p>
        </w:tc>
      </w:tr>
    </w:tbl>
    <w:p>
      <w:pPr>
        <w:pStyle w:val="Heading2"/>
        <w:spacing w:before="200" w:after="80"/>
      </w:pPr>
      <w:r>
        <w:rPr>
          <w:rFonts w:ascii="Calibri" w:hAnsi="Calibri"/>
          <w:b/>
          <w:color w:val="2E75B6"/>
          <w:sz w:val="28"/>
        </w:rPr>
        <w:t>Immediate Next Steps (Within 30 Days)</w:t>
      </w:r>
    </w:p>
    <w:p>
      <w:pPr>
        <w:pStyle w:val="ListNumber"/>
        <w:spacing w:before="20" w:after="20"/>
      </w:pPr>
      <w:r>
        <w:rPr>
          <w:rFonts w:ascii="Calibri" w:hAnsi="Calibri"/>
          <w:color w:val="000000"/>
          <w:sz w:val="20"/>
        </w:rPr>
        <w:t>Review and validate this AI-generated plan with the QAD project team and implementation partner.</w:t>
      </w:r>
    </w:p>
    <w:p>
      <w:pPr>
        <w:pStyle w:val="ListNumber"/>
        <w:spacing w:before="20" w:after="20"/>
      </w:pPr>
      <w:r>
        <w:rPr>
          <w:rFonts w:ascii="Calibri" w:hAnsi="Calibri"/>
          <w:color w:val="000000"/>
          <w:sz w:val="20"/>
        </w:rPr>
        <w:t>Conduct a code freeze on the source QAD environment.</w:t>
      </w:r>
    </w:p>
    <w:p>
      <w:pPr>
        <w:pStyle w:val="ListNumber"/>
        <w:spacing w:before="20" w:after="20"/>
      </w:pPr>
      <w:r>
        <w:rPr>
          <w:rFonts w:ascii="Calibri" w:hAnsi="Calibri"/>
          <w:color w:val="000000"/>
          <w:sz w:val="20"/>
        </w:rPr>
        <w:t>Establish a dedicated QAD QAD Adaptive ERP 2022 sandbox environment for developer testing.</w:t>
      </w:r>
    </w:p>
    <w:p>
      <w:pPr>
        <w:pStyle w:val="ListNumber"/>
        <w:spacing w:before="20" w:after="20"/>
      </w:pPr>
      <w:r>
        <w:rPr>
          <w:rFonts w:ascii="Calibri" w:hAnsi="Calibri"/>
          <w:color w:val="000000"/>
          <w:sz w:val="20"/>
        </w:rPr>
        <w:t>Assign business owners to each custom module and confirm recommended actions.</w:t>
      </w:r>
    </w:p>
    <w:p>
      <w:pPr>
        <w:pStyle w:val="ListNumber"/>
        <w:spacing w:before="20" w:after="20"/>
      </w:pPr>
      <w:r>
        <w:rPr>
          <w:rFonts w:ascii="Calibri" w:hAnsi="Calibri"/>
          <w:color w:val="000000"/>
          <w:sz w:val="20"/>
        </w:rPr>
        <w:t>Schedule a risk workshop to review the risk register and agree mitigation owners.</w:t>
      </w:r>
    </w:p>
    <w:p>
      <w:pPr>
        <w:pStyle w:val="Heading1"/>
        <w:pBdr>
          <w:bottom w:val="single" w:sz="8" w:color="2E75B6" w:space="4"/>
        </w:pBdr>
        <w:pageBreakBefore w:val="true"/>
        <w:spacing w:before="240" w:after="120"/>
      </w:pPr>
      <w:r>
        <w:rPr>
          <w:rFonts w:ascii="Calibri" w:hAnsi="Calibri"/>
          <w:b/>
          <w:color w:val="1F4E79"/>
          <w:sz w:val="36"/>
        </w:rPr>
        <w:t>Appendices</w:t>
      </w:r>
    </w:p>
    <w:p>
      <w:pPr>
        <w:pStyle w:val="Heading2"/>
        <w:spacing w:before="200" w:after="80"/>
      </w:pPr>
      <w:r>
        <w:rPr>
          <w:rFonts w:ascii="Calibri" w:hAnsi="Calibri"/>
          <w:b/>
          <w:color w:val="2E75B6"/>
          <w:sz w:val="28"/>
        </w:rPr>
        <w:t>Appendix A: Source Code File Inventory</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File Path</w:t>
            </w:r>
          </w:p>
        </w:tc>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Extension</w:t>
            </w:r>
          </w:p>
        </w:tc>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Lines of Code</w:t>
            </w:r>
          </w:p>
        </w:tc>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Module</w:t>
            </w:r>
          </w:p>
        </w:tc>
        <w:tc>
          <w:tcPr>
            <w:tcW w:type="dxa" w:w="1805"/>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Notes</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doa/xxapprupd.i</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.i</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50</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Approver Code Update</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doa/xxapprvalupd.i</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.i</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60</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Approver UserID Update</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doa/xxdispmsg.p</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30</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Display Message Utility</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doa/xxdoaapprexp.p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200</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Approvers Export Utility</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doa/xxdoaapprload.p</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300</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Approvers Upload Utility</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doa/xxdoaapprmt.p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400</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Approver Maintenance</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doa/xxdoaappr_mstr.df</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.df</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100</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Approver Master Definition</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doa/xxdoahist.p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70</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History Processing</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doa/xxdoah_hist.df</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.df</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120</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History Master Definition</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doa/xxdoaproc.p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500</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 Processing</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doa/xxdoaruleexp.p</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150</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Rule Export Utility</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doa/xxdoaruleload.p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250</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Rule Load Utility</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doa/xxdoarulemt.p</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350</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Rule Maintenance</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doa/xxdoarule_mstr.df</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.df</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110</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Rule Master Definition</w:t>
            </w:r>
          </w:p>
        </w:tc>
      </w:tr>
      <w:tr>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doa/xxnotifyupd.i</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.i</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40</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Notification Update</w:t>
            </w:r>
          </w:p>
        </w:tc>
      </w:tr>
      <w:tr>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doa/xxruleupd.i</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.i</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50</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DOA</w:t>
            </w:r>
          </w:p>
        </w:tc>
        <w:tc>
          <w:tcPr>
            <w:tcW w:type="dxa" w:w="1805"/>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Rule Update</w:t>
            </w:r>
          </w:p>
        </w:tc>
      </w:tr>
    </w:tbl>
    <w:p>
      <w:pPr>
        <w:pStyle w:val="Heading2"/>
        <w:spacing w:before="200" w:after="80"/>
      </w:pPr>
      <w:r>
        <w:rPr>
          <w:rFonts w:ascii="Calibri" w:hAnsi="Calibri"/>
          <w:b/>
          <w:color w:val="2E75B6"/>
          <w:sz w:val="28"/>
        </w:rPr>
        <w:t>Appendix B: QAD Version Change Reference</w:t>
      </w:r>
    </w:p>
    <w:p>
      <w:pPr>
        <w:spacing w:before="40" w:after="80"/>
        <w:jc w:val="both"/>
      </w:pPr>
      <w:r>
        <w:rPr>
          <w:rFonts w:ascii="Calibri" w:hAnsi="Calibri"/>
          <w:i w:val="0"/>
          <w:color w:val="000000"/>
          <w:sz w:val="20"/>
        </w:rPr>
        <w:t>QAD Adaptive ERP 2022 introduces changes in the UI framework and integration capabilities, requiring adaptation of custom modules to align with the new architecture.</w:t>
      </w:r>
    </w:p>
    <w:p>
      <w:pPr>
        <w:pStyle w:val="Heading2"/>
        <w:spacing w:before="200" w:after="80"/>
      </w:pPr>
      <w:r>
        <w:rPr>
          <w:rFonts w:ascii="Calibri" w:hAnsi="Calibri"/>
          <w:b/>
          <w:color w:val="2E75B6"/>
          <w:sz w:val="28"/>
        </w:rPr>
        <w:t>Appendix C: Glossary</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Term</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Definition</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4GL / ABL</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Progress 4th Generation Language / OpenEdge ABL — the language used to write QAD customisations.</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Carry Forward</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Customisation compatible with target version; redeployable with minimal changes.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QCF</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Customisation Framework — the supported hook-based customisation mechanism in modern QAD.</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Adaptive ERP</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QAD's cloud-native ERP platform, successor to QAD Enterprise Edition.</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TCO</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Total Cost of Ownership — licence, infrastructure, and ongoing maintenance cost of custom code.</w:t>
            </w:r>
          </w:p>
        </w:tc>
      </w:tr>
    </w:tbl>
    <w:p>
      <w:pPr>
        <w:pStyle w:val="Heading2"/>
        <w:spacing w:before="200" w:after="80"/>
      </w:pPr>
      <w:r>
        <w:rPr>
          <w:rFonts w:ascii="Calibri" w:hAnsi="Calibri"/>
          <w:b/>
          <w:color w:val="2E75B6"/>
          <w:sz w:val="28"/>
        </w:rPr>
        <w:t>Appendix D: About Mitra Central QAD-Zone</w:t>
      </w:r>
    </w:p>
    <w:p>
      <w:pPr>
        <w:spacing w:before="40" w:after="80"/>
        <w:jc w:val="both"/>
      </w:pPr>
      <w:r>
        <w:rPr>
          <w:rFonts w:ascii="Calibri" w:hAnsi="Calibri"/>
          <w:i w:val="0"/>
          <w:color w:val="000000"/>
          <w:sz w:val="20"/>
        </w:rPr>
        <w:t>This Migration &amp; Modernisation Plan was generated by the Mitra Central QAD-Zone Modernisation engine — an AI-powered platform designed for QAD ERP implementation partners. For queries, contact [PARTNER CONTACT DETAILS].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2E75B6" w:space="4"/>
      </w:pBdr>
    </w:pPr>
    <w:r>
      <w:rPr>
        <w:rFonts w:ascii="Calibri" w:hAnsi="Calibri"/>
        <w:color w:val="C55A11"/>
        <w:sz w:val="14"/>
      </w:rPr>
      <w:t xml:space="preserve">CONFIDENTIAL  ·  Mitra Central QAD-Zone  ·  AI-Generated Draft  ·  QAD EE 2021 → QAD Adaptive ERP 2022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2E75B6" w:space="4"/>
      </w:pBdr>
    </w:pPr>
    <w:r>
      <w:rPr>
        <w:rFonts w:ascii="Calibri" w:hAnsi="Calibri"/>
        <w:color w:val="404040"/>
        <w:sz w:val="16"/>
      </w:rPr>
      <w:t>QAD ERP Migration &amp; Modernisation Plan</w:t>
    </w:r>
    <w:r>
      <w:rPr>
        <w:rFonts w:ascii="Calibri" w:hAnsi="Calibri"/>
        <w:b/>
        <w:color w:val="2E75B6"/>
        <w:sz w:val="16"/>
      </w:rPr>
      <w:t xml:space="preserve">    QAD EE 2021 → QAD Adaptive ERP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