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t>ПРИЛОЖЕНИЕ А</w:t>
      </w:r>
    </w:p>
    <w:p>
      <w:pPr>
        <w:spacing w:after="240"/>
        <w:jc w:val="center"/>
      </w:pPr>
      <w:r>
        <w:t>Графические материалы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5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img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sz w:val="24"/>
        </w:rPr>
        <w:t>Рисунок А.1 — Контекстная диаграмма IDEF0 (A-0).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2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img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sz w:val="24"/>
        </w:rPr>
        <w:t>Рисунок А.2 — Denford AGV (общий вид/ключевые узлы).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5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img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sz w:val="24"/>
        </w:rPr>
        <w:t>Рисунок А.3 — Структурная схема системы.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904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img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90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sz w:val="24"/>
        </w:rPr>
        <w:t>Рисунок А.4 — Декомпозиция IDEF0 (A0).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0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img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sz w:val="24"/>
        </w:rPr>
        <w:t>Рисунок А.5 — Алгоритм обработки команд и обмена (MQTT).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0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img_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sz w:val="24"/>
        </w:rPr>
        <w:t>Рисунок А.6 — Алгоритм ручного режима (Manual).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0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img_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sz w:val="24"/>
        </w:rPr>
        <w:t>Рисунок А.7 — Алгоритм автоматического движения по линии и остановки у станции (Auto).</w:t>
      </w:r>
    </w:p>
    <w:sectPr w:rsidR="00FC693F" w:rsidRPr="0006063C" w:rsidSect="00034616">
      <w:headerReference w:type="default" r:id="rId9"/>
      <w:footerReference w:type="first" r:id="rId10"/>
      <w:footerReference w:type="default" r:id="rId11"/>
      <w:pgSz w:w="12240" w:h="15840"/>
      <w:pgMar w:top="1134" w:right="567" w:bottom="1134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4"/>
      </w:rPr>
    </w:r>
    <w:r>
      <w:rPr>
        <w:rFonts w:ascii="Times New Roman" w:hAnsi="Times New Roman" w:eastAsia="Times New Roman"/>
        <w:sz w:val="24"/>
      </w:rPr>
      <w:fldChar w:fldCharType="begin"/>
      <w:instrText xml:space="preserve">PAGE \* MERGEFORMAT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 w:val="0"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