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color w:val="000000"/>
          <w:u w:val="none"/>
        </w:rPr>
        <w:t>ПРИЛОЖЕНИЕ А</w:t>
      </w:r>
    </w:p>
    <w:p>
      <w:pPr>
        <w:spacing w:after="240"/>
        <w:jc w:val="center"/>
      </w:pPr>
      <w:r>
        <w:t>Графические материалы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А.1 — Контекстная диаграмма IDEF0 (A-0).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А.2 — Denford AGV (общий вид/ключевые узлы).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А.3 — Структурная схема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90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А.4 — Декомпозиция IDEF0 (A0).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А.5 — Алгоритм обработки команд и обмена (MQTT).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А.6 — Алгоритм ручного режима (Manual).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А.7 — Алгоритм автоматического движения по линии и остановки у станции (Auto).</w:t>
      </w:r>
    </w:p>
    <w:sectPr w:rsidR="00FC693F" w:rsidRPr="0006063C" w:rsidSect="00034616">
      <w:headerReference w:type="default" r:id="rId9"/>
      <w:footerReference w:type="first" r:id="rId10"/>
      <w:footerReference w:type="default" r:id="rId11"/>
      <w:pgSz w:w="12240" w:h="15840"/>
      <w:pgMar w:top="1134" w:right="567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</w:r>
    <w:r>
      <w:rPr>
        <w:rFonts w:ascii="Times New Roman" w:hAnsi="Times New Roman" w:eastAsia="Times New Roman"/>
        <w:sz w:val="24"/>
      </w:rPr>
      <w:fldChar w:fldCharType="begin"/>
      <w:instrText xml:space="preserve">PAGE \* MERGEFORMAT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