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agent-prompt-templates"/>
    <w:p>
      <w:pPr>
        <w:pStyle w:val="Heading1"/>
      </w:pPr>
      <w:r>
        <w:t xml:space="preserve">AI-Agent Prompt Templates</w:t>
      </w:r>
    </w:p>
    <w:p>
      <w:pPr>
        <w:pStyle w:val="FirstParagraph"/>
      </w:pPr>
      <w:r>
        <w:t xml:space="preserve">General-purpose, domain-agnostic, agent-agnostic templates for two recurring needs: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Multi-session project work</w:t>
      </w:r>
      <w:r>
        <w:t xml:space="preserve"> </w:t>
      </w:r>
      <w:r>
        <w:t xml:space="preserve">— starting and resuming long-horizon AI-agent projects without context loss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Deep research briefs</w:t>
      </w:r>
      <w:r>
        <w:t xml:space="preserve"> </w:t>
      </w:r>
      <w:r>
        <w:t xml:space="preserve">— 4000-8000 word research deliverables from any Deep Research provider or agentic research skill</w:t>
      </w:r>
    </w:p>
    <w:p>
      <w:pPr>
        <w:pStyle w:val="FirstParagraph"/>
      </w:pPr>
      <w:r>
        <w:t xml:space="preserve">All templates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Domain-agnostic</w:t>
      </w:r>
      <w:r>
        <w:t xml:space="preserve"> </w:t>
      </w:r>
      <w:r>
        <w:t xml:space="preserve">— work for code, research, ops/strategy, content, marketing ops, workflow automation, consulting, ecommerce, SaaS, internal tooling, anything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Agent-agnostic</w:t>
      </w:r>
      <w:r>
        <w:t xml:space="preserve"> </w:t>
      </w:r>
      <w:r>
        <w:t xml:space="preserve">— work with Claude Code, Cursor, Windsurf, Zed, Copilot, Codex CLI, Aider, Continue, Cline, hosted enterprise agents, and web-UI chat 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Scale-adaptive</w:t>
      </w:r>
      <w:r>
        <w:t xml:space="preserve"> </w:t>
      </w:r>
      <w:r>
        <w:t xml:space="preserve">— include ceremony-level guidance for small (5-10 session) vs. standard (25-100 session) vs. heavy (100+ session) projects</w:t>
      </w:r>
    </w:p>
    <w:p>
      <w:r>
        <w:pict>
          <v:rect style="width:0;height:1.5pt" o:hralign="center" o:hrstd="t" o:hr="t"/>
        </w:pict>
      </w:r>
    </w:p>
    <w:bookmarkStart w:id="9" w:name="placeholder-conventions"/>
    <w:p>
      <w:pPr>
        <w:pStyle w:val="Heading2"/>
      </w:pPr>
      <w:r>
        <w:t xml:space="preserve">Placeholder conventions</w:t>
      </w:r>
    </w:p>
    <w:p>
      <w:pPr>
        <w:pStyle w:val="FirstParagraph"/>
      </w:pPr>
      <w:r>
        <w:t xml:space="preserve">Templates use two reference placeholders for personal infrastructure: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{{KNOWLEDGE_BASE_ROOT}}</w:t>
      </w:r>
      <w:r>
        <w:t xml:space="preserve"> </w:t>
      </w:r>
      <w:r>
        <w:t xml:space="preserve">— substitute your own knowledge base path if you maintain one (e.g., an Obsidian vault at</w:t>
      </w:r>
      <w:r>
        <w:t xml:space="preserve"> </w:t>
      </w:r>
      <w:r>
        <w:rPr>
          <w:rStyle w:val="VerbatimChar"/>
        </w:rPr>
        <w:t xml:space="preserve">~/kb/</w:t>
      </w:r>
      <w:r>
        <w:t xml:space="preserve">, a Notion workspace, a local wiki, a company confluence space). If you don't maintain a KB, delete the reference — nothing downstream depends on it.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{{WORK_VAULT_ROOT}}</w:t>
      </w:r>
      <w:r>
        <w:t xml:space="preserve"> </w:t>
      </w:r>
      <w:r>
        <w:t xml:space="preserve">— substitute your own work/project notes vault (e.g., an Obsidian folder at</w:t>
      </w:r>
      <w:r>
        <w:t xml:space="preserve"> </w:t>
      </w:r>
      <w:r>
        <w:rPr>
          <w:rStyle w:val="VerbatimChar"/>
        </w:rPr>
        <w:t xml:space="preserve">~/Documents/Work/</w:t>
      </w:r>
      <w:r>
        <w:t xml:space="preserve">, a Notion project workspace). Same rule: delete if unused.</w:t>
      </w:r>
    </w:p>
    <w:p>
      <w:pPr>
        <w:pStyle w:val="FirstParagraph"/>
      </w:pPr>
      <w:r>
        <w:t xml:space="preserve">References like</w:t>
      </w:r>
      <w:r>
        <w:t xml:space="preserve"> </w:t>
      </w:r>
      <w:r>
        <w:rPr>
          <w:rStyle w:val="VerbatimChar"/>
        </w:rPr>
        <w:t xml:space="preserve">{{KNOWLEDGE_BASE_ROOT}}/amazon-ads/wiki/_index.md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suggestions</w:t>
      </w:r>
      <w:r>
        <w:t xml:space="preserve"> </w:t>
      </w:r>
      <w:r>
        <w:t xml:space="preserve">of where prior compiled research might live. If your equivalent is</w:t>
      </w:r>
      <w:r>
        <w:t xml:space="preserve"> </w:t>
      </w:r>
      <w:r>
        <w:rPr>
          <w:rStyle w:val="VerbatimChar"/>
        </w:rPr>
        <w:t xml:space="preserve">~/Notion/Marketing/Amazon-PPC</w:t>
      </w:r>
      <w:r>
        <w:t xml:space="preserve">, substitute accordingly. If none exists, the template still works — it just skips that step.</w:t>
      </w:r>
    </w:p>
    <w:p>
      <w:r>
        <w:pict>
          <v:rect style="width:0;height:1.5pt" o:hralign="center" o:hrstd="t" o:hr="t"/>
        </w:pict>
      </w:r>
    </w:p>
    <w:bookmarkEnd w:id="9"/>
    <w:bookmarkStart w:id="10" w:name="decision-tree--pick-the-right-template"/>
    <w:p>
      <w:pPr>
        <w:pStyle w:val="Heading2"/>
      </w:pPr>
      <w:r>
        <w:t xml:space="preserve">Decision tree — pick the right template</w:t>
      </w:r>
    </w:p>
    <w:p>
      <w:pPr>
        <w:pStyle w:val="SourceCode"/>
      </w:pPr>
      <w:r>
        <w:rPr>
          <w:rStyle w:val="VerbatimChar"/>
        </w:rPr>
        <w:t xml:space="preserve">Are you starting or resuming a multi-session project?</w:t>
      </w:r>
      <w:r>
        <w:br/>
      </w:r>
      <w:r>
        <w:rPr>
          <w:rStyle w:val="VerbatimChar"/>
        </w:rPr>
        <w:t xml:space="preserve">├─ Starting (session 1, expecting 10+ sessions) → session-kickoff-bootstrap.md</w:t>
      </w:r>
      <w:r>
        <w:br/>
      </w:r>
      <w:r>
        <w:rPr>
          <w:rStyle w:val="VerbatimChar"/>
        </w:rPr>
        <w:t xml:space="preserve">└─ Resuming (session 2 through N)               → session-kickoff-prompt.md</w:t>
      </w:r>
      <w:r>
        <w:br/>
      </w:r>
      <w:r>
        <w:br/>
      </w:r>
      <w:r>
        <w:rPr>
          <w:rStyle w:val="VerbatimChar"/>
        </w:rPr>
        <w:t xml:space="preserve">Do you need a research brief (4000-8000 words)?</w:t>
      </w:r>
      <w:r>
        <w:br/>
      </w:r>
      <w:r>
        <w:rPr>
          <w:rStyle w:val="VerbatimChar"/>
        </w:rPr>
        <w:t xml:space="preserve">├─ Not sure which type                          → deep-research-prompt-master.md</w:t>
      </w:r>
      <w:r>
        <w:br/>
      </w:r>
      <w:r>
        <w:rPr>
          <w:rStyle w:val="VerbatimChar"/>
        </w:rPr>
        <w:t xml:space="preserve">├─ Competitive / market positioning             → deep-research-competitive-landscape.md</w:t>
      </w:r>
      <w:r>
        <w:br/>
      </w:r>
      <w:r>
        <w:rPr>
          <w:rStyle w:val="VerbatimChar"/>
        </w:rPr>
        <w:t xml:space="preserve">├─ Technical platform / build-vs-buy            → deep-research-technical-reference.md</w:t>
      </w:r>
      <w:r>
        <w:br/>
      </w:r>
      <w:r>
        <w:rPr>
          <w:rStyle w:val="VerbatimChar"/>
        </w:rPr>
        <w:t xml:space="preserve">└─ Portfolio / offering / GTM design            → deep-research-strategic-portfolio.md</w:t>
      </w:r>
      <w:r>
        <w:br/>
      </w:r>
      <w:r>
        <w:br/>
      </w:r>
      <w:r>
        <w:rPr>
          <w:rStyle w:val="VerbatimChar"/>
        </w:rPr>
        <w:t xml:space="preserve">Need just a quick fact or single-source lookup  → plain web search, not these templates</w:t>
      </w:r>
      <w:r>
        <w:br/>
      </w:r>
      <w:r>
        <w:rPr>
          <w:rStyle w:val="VerbatimChar"/>
        </w:rPr>
        <w:t xml:space="preserve">Need an ongoing multi-session research project  → use BOTH kickoff (for the project)</w:t>
      </w:r>
      <w:r>
        <w:br/>
      </w:r>
      <w:r>
        <w:rPr>
          <w:rStyle w:val="VerbatimChar"/>
        </w:rPr>
        <w:t xml:space="preserve">                                                  AND the appropriate DR archetype (for briefs)</w:t>
      </w:r>
    </w:p>
    <w:p>
      <w:r>
        <w:pict>
          <v:rect style="width:0;height:1.5pt" o:hralign="center" o:hrstd="t" o:hr="t"/>
        </w:pict>
      </w:r>
    </w:p>
    <w:bookmarkEnd w:id="10"/>
    <w:bookmarkStart w:id="13" w:name="the-six-templates"/>
    <w:p>
      <w:pPr>
        <w:pStyle w:val="Heading2"/>
      </w:pPr>
      <w:r>
        <w:t xml:space="preserve">The six templates</w:t>
      </w:r>
    </w:p>
    <w:bookmarkStart w:id="11" w:name="multi-session-project-templates-pair"/>
    <w:p>
      <w:pPr>
        <w:pStyle w:val="Heading3"/>
      </w:pPr>
      <w:r>
        <w:t xml:space="preserve">Multi-session project templates (pair)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session-kickoff-bootstrap.md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1 only.</w:t>
            </w:r>
            <w:r>
              <w:t xml:space="preserve"> </w:t>
            </w:r>
            <w:r>
              <w:t xml:space="preserve">Interview for a frozen goal, scaffold the four-file durable-state stack (Prompt / Plan / Implement / Documentation), set up task tracker + validators, seed optional persistent memory, produce first handoff. Ends with a hard gate contract.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session-kickoff-prompt.md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2 through N.</w:t>
            </w:r>
            <w:r>
              <w:t xml:space="preserve"> </w:t>
            </w:r>
            <w:r>
              <w:t xml:space="preserve">Declare session scope, read durable state, check prior-session history, verify state on disk, ask blocker questions before picking work, enforce working protocol, run compounding checkpoint ritual at key moments, print hard gate before any writes.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they pair:</w:t>
      </w:r>
      <w:r>
        <w:t xml:space="preserve"> </w:t>
      </w:r>
      <w:r>
        <w:t xml:space="preserve">bootstrap produces the state that resumption assumes exists. If you're starting fresh, always run bootstrap first. If the four-file stack is missing when you try to resume, the resumption template will tell you to bootstrap.</w:t>
      </w:r>
    </w:p>
    <w:bookmarkEnd w:id="11"/>
    <w:bookmarkStart w:id="12" w:name="Xd02dcfd273b84d4c2f0867bbbcaed4314e2602b"/>
    <w:p>
      <w:pPr>
        <w:pStyle w:val="Heading3"/>
      </w:pPr>
      <w:r>
        <w:t xml:space="preserve">Deep research templates (master + three archetypes)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deep-research-prompt-master.md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Archetype selector + shared infrastructure.</w:t>
            </w:r>
            <w:r>
              <w:t xml:space="preserve"> </w:t>
            </w:r>
            <w:r>
              <w:t xml:space="preserve">Explains the common 4-block skeleton (Context / Questions / Deliverable / Sources), global dependencies, three-provider DR routing, universal quality bar, source-priority rules. Read this first if you're unsure which archetype fits.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deep-research-competitive-landscape.md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/ positioning research.</w:t>
            </w:r>
            <w:r>
              <w:t xml:space="preserve"> </w:t>
            </w:r>
            <w:r>
              <w:t xml:space="preserve">Map competitors, surface buyer demand signals, identify white-space, forecast 12-month trajectory. Best DR provider:</w:t>
            </w:r>
            <w:r>
              <w:t xml:space="preserve"> </w:t>
            </w:r>
            <w:r>
              <w:rPr>
                <w:b/>
                <w:bCs/>
              </w:rPr>
              <w:t xml:space="preserve">ChatGPT Deep Research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deep-research-technical-reference.md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/ architectural research.</w:t>
            </w:r>
            <w:r>
              <w:t xml:space="preserve"> </w:t>
            </w:r>
            <w:r>
              <w:t xml:space="preserve">Reconstruct platform lifecycles, evaluate SDKs, catalog integrations + limitations, security threat model, build-vs-buy cost model. Best DR provider:</w:t>
            </w:r>
            <w:r>
              <w:t xml:space="preserve"> </w:t>
            </w:r>
            <w:r>
              <w:rPr>
                <w:b/>
                <w:bCs/>
              </w:rPr>
              <w:t xml:space="preserve">Gemini Deep Research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deep-research-strategic-portfolio.md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Portfolio / offering / GTM design.</w:t>
            </w:r>
            <w:r>
              <w:t xml:space="preserve"> </w:t>
            </w:r>
            <w:r>
              <w:t xml:space="preserve">Productize N offerings under scope discipline, pick anchor 3, segment/vertical plays, qualification rubric, anti-offerings, 12-month roadmap. Best DR provider:</w:t>
            </w:r>
            <w:r>
              <w:t xml:space="preserve"> </w:t>
            </w:r>
            <w:r>
              <w:rPr>
                <w:b/>
                <w:bCs/>
              </w:rPr>
              <w:t xml:space="preserve">Claude Research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Archetype combinations:</w:t>
      </w:r>
      <w:r>
        <w:t xml:space="preserve"> </w:t>
      </w:r>
      <w:r>
        <w:t xml:space="preserve">real briefs often span two. Start with one and borrow sections from another. The master template has guidance on combinations.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hree-provider-dr-routing-from-master"/>
    <w:p>
      <w:pPr>
        <w:pStyle w:val="Heading2"/>
      </w:pPr>
      <w:r>
        <w:t xml:space="preserve">Three-provider DR routing (from master)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 Provider</w:t>
            </w:r>
          </w:p>
        </w:tc>
        <w:tc>
          <w:tcPr/>
          <w:p>
            <w:pPr>
              <w:pStyle w:val="Compact"/>
            </w:pPr>
            <w:r>
              <w:t xml:space="preserve">Strongest for</w:t>
            </w:r>
          </w:p>
        </w:tc>
        <w:tc>
          <w:tcPr/>
          <w:p>
            <w:pPr>
              <w:pStyle w:val="Compact"/>
            </w:pPr>
            <w:r>
              <w:t xml:space="preserve">Archetype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Deep Research</w:t>
            </w:r>
          </w:p>
        </w:tc>
        <w:tc>
          <w:tcPr/>
          <w:p>
            <w:pPr>
              <w:pStyle w:val="Compact"/>
            </w:pPr>
            <w:r>
              <w:t xml:space="preserve">Strategy synthesis, cross-source reconciliation</w:t>
            </w:r>
          </w:p>
        </w:tc>
        <w:tc>
          <w:tcPr/>
          <w:p>
            <w:pPr>
              <w:pStyle w:val="Compact"/>
            </w:pPr>
            <w:r>
              <w:t xml:space="preserve">Competitive landscape (primary)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Deep Research</w:t>
            </w:r>
          </w:p>
        </w:tc>
        <w:tc>
          <w:tcPr/>
          <w:p>
            <w:pPr>
              <w:pStyle w:val="Compact"/>
            </w:pPr>
            <w:r>
              <w:t xml:space="preserve">Technical depth, code/doc ingestion, large context</w:t>
            </w:r>
          </w:p>
        </w:tc>
        <w:tc>
          <w:tcPr/>
          <w:p>
            <w:pPr>
              <w:pStyle w:val="Compact"/>
            </w:pPr>
            <w:r>
              <w:t xml:space="preserve">Technical reference (primary)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Research</w:t>
            </w:r>
          </w:p>
        </w:tc>
        <w:tc>
          <w:tcPr/>
          <w:p>
            <w:pPr>
              <w:pStyle w:val="Compact"/>
            </w:pPr>
            <w:r>
              <w:t xml:space="preserve">Reasoning against user-provided context, nuance</w:t>
            </w:r>
          </w:p>
        </w:tc>
        <w:tc>
          <w:tcPr/>
          <w:p>
            <w:pPr>
              <w:pStyle w:val="Compact"/>
            </w:pPr>
            <w:r>
              <w:t xml:space="preserve">Strategic portfolio (primary)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Grok DeepSearch</w:t>
            </w:r>
          </w:p>
        </w:tc>
        <w:tc>
          <w:tcPr/>
          <w:p>
            <w:pPr>
              <w:pStyle w:val="Compact"/>
            </w:pPr>
            <w:r>
              <w:t xml:space="preserve">Real-time + X-native signal capture</w:t>
            </w:r>
          </w:p>
        </w:tc>
        <w:tc>
          <w:tcPr/>
          <w:p>
            <w:pPr>
              <w:pStyle w:val="Compact"/>
            </w:pPr>
            <w:r>
              <w:t xml:space="preserve">News / supplement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 Pro</w:t>
            </w:r>
          </w:p>
        </w:tc>
        <w:tc>
          <w:tcPr/>
          <w:p>
            <w:pPr>
              <w:pStyle w:val="Compact"/>
            </w:pPr>
            <w:r>
              <w:t xml:space="preserve">Fast citation-dense answers</w:t>
            </w:r>
          </w:p>
        </w:tc>
        <w:tc>
          <w:tcPr/>
          <w:p>
            <w:pPr>
              <w:pStyle w:val="Compact"/>
            </w:pPr>
            <w:r>
              <w:t xml:space="preserve">Quick citation seed</w:t>
            </w:r>
          </w:p>
        </w:tc>
      </w:tr>
    </w:tbl>
    <w:p>
      <w:pPr>
        <w:pStyle w:val="BodyText"/>
      </w:pPr>
      <w:r>
        <w:t xml:space="preserve">For high-stakes briefs, run the same prompt through all three primary providers and reconcile. Provider disagreement is a signal worth surfacing.</w:t>
      </w:r>
    </w:p>
    <w:p>
      <w:r>
        <w:pict>
          <v:rect style="width:0;height:1.5pt" o:hralign="center" o:hrstd="t" o:hr="t"/>
        </w:pict>
      </w:r>
    </w:p>
    <w:bookmarkEnd w:id="14"/>
    <w:bookmarkStart w:id="15" w:name="quick-start"/>
    <w:p>
      <w:pPr>
        <w:pStyle w:val="Heading2"/>
      </w:pPr>
      <w:r>
        <w:t xml:space="preserve">Quick-start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Copy the relevant template</w:t>
      </w:r>
      <w:r>
        <w:t xml:space="preserve"> </w:t>
      </w:r>
      <w:r>
        <w:t xml:space="preserve">(as markdown or paste from the .docx into your DR provider / agent)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Fill in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{{placeholder}}</w:t>
      </w:r>
      <w:r>
        <w:rPr>
          <w:b/>
          <w:bCs/>
        </w:rPr>
        <w:t xml:space="preserve">.</w:t>
      </w:r>
      <w:r>
        <w:t xml:space="preserve"> </w:t>
      </w:r>
      <w:r>
        <w:t xml:space="preserve">Delete sections marked</w:t>
      </w:r>
      <w:r>
        <w:t xml:space="preserve"> </w:t>
      </w:r>
      <w:r>
        <w:rPr>
          <w:rStyle w:val="VerbatimChar"/>
        </w:rPr>
        <w:t xml:space="preserve">[optional — delete if N/A]</w:t>
      </w:r>
      <w:r>
        <w:t xml:space="preserve"> </w:t>
      </w:r>
      <w:r>
        <w:t xml:space="preserve">that don't apply.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 the adaptation guide</w:t>
      </w:r>
      <w:r>
        <w:t xml:space="preserve"> </w:t>
      </w:r>
      <w:r>
        <w:t xml:space="preserve">at the top of each template — it tells you what scales up or down with your project size and agent platform.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 recurring work</w:t>
      </w:r>
      <w:r>
        <w:t xml:space="preserve"> </w:t>
      </w:r>
      <w:r>
        <w:t xml:space="preserve">(e.g., quarterly competitive refreshes, weekly standup handoffs), save the filled template to your project's prompts folder so the next run is a diff, not a rewrite.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Route learnings</w:t>
      </w:r>
      <w:r>
        <w:t xml:space="preserve"> </w:t>
      </w:r>
      <w:r>
        <w:t xml:space="preserve">back per the compounding-checkpoint ritual in</w:t>
      </w:r>
      <w:r>
        <w:t xml:space="preserve"> </w:t>
      </w:r>
      <w:r>
        <w:rPr>
          <w:rStyle w:val="VerbatimChar"/>
        </w:rPr>
        <w:t xml:space="preserve">session-kickoff-prompt.md</w:t>
      </w:r>
      <w:r>
        <w:t xml:space="preserve"> </w:t>
      </w:r>
      <w:r>
        <w:t xml:space="preserve">Step 5.5.</w:t>
      </w:r>
    </w:p>
    <w:p>
      <w:r>
        <w:pict>
          <v:rect style="width:0;height:1.5pt" o:hralign="center" o:hrstd="t" o:hr="t"/>
        </w:pict>
      </w:r>
    </w:p>
    <w:bookmarkEnd w:id="15"/>
    <w:bookmarkStart w:id="16" w:name="available-formats"/>
    <w:p>
      <w:pPr>
        <w:pStyle w:val="Heading2"/>
      </w:pPr>
      <w:r>
        <w:t xml:space="preserve">Available formats</w:t>
      </w:r>
    </w:p>
    <w:p>
      <w:pPr>
        <w:pStyle w:val="FirstParagraph"/>
      </w:pPr>
      <w:r>
        <w:t xml:space="preserve">Each template exists as both: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Markdown (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)</w:t>
      </w:r>
      <w:r>
        <w:t xml:space="preserve"> </w:t>
      </w:r>
      <w:r>
        <w:t xml:space="preserve">— for pasting into agents, version-controlling alongside a project, or reading in a markdown viewer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Word (</w:t>
      </w:r>
      <w:r>
        <w:rPr>
          <w:rStyle w:val="VerbatimChar"/>
          <w:b/>
          <w:bCs/>
        </w:rPr>
        <w:t xml:space="preserve">.docx</w:t>
      </w:r>
      <w:r>
        <w:rPr>
          <w:b/>
          <w:bCs/>
        </w:rPr>
        <w:t xml:space="preserve">)</w:t>
      </w:r>
      <w:r>
        <w:t xml:space="preserve"> </w:t>
      </w:r>
      <w:r>
        <w:t xml:space="preserve">— for sharing with non-technical stakeholders or editing in Word / Pages / Google Docs</w:t>
      </w:r>
    </w:p>
    <w:p>
      <w:pPr>
        <w:pStyle w:val="FirstParagraph"/>
      </w:pPr>
      <w:r>
        <w:t xml:space="preserve">Regenerate docx from md with pandoc:</w:t>
      </w:r>
      <w:r>
        <w:t xml:space="preserve"> </w:t>
      </w:r>
      <w:r>
        <w:rPr>
          <w:rStyle w:val="VerbatimChar"/>
        </w:rPr>
        <w:t xml:space="preserve">pandoc FILE.md -o FILE.docx --from=gfm --to=docx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2026-04-14</w:t>
            </w:r>
          </w:p>
        </w:tc>
        <w:tc>
          <w:tcPr/>
          <w:p>
            <w:pPr>
              <w:pStyle w:val="Compact"/>
            </w:pPr>
            <w:r>
              <w:t xml:space="preserve">Initial release — user-specific (contained hardcoded paths, tools, domain examples). Archived at</w:t>
            </w:r>
            <w:r>
              <w:t xml:space="preserve"> </w:t>
            </w:r>
            <w:r>
              <w:rPr>
                <w:rStyle w:val="VerbatimChar"/>
              </w:rPr>
              <w:t xml:space="preserve">archive/v1-user-specific-2026-04-14/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2026-04-14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Current.</w:t>
            </w:r>
            <w:r>
              <w:t xml:space="preserve"> </w:t>
            </w:r>
            <w:r>
              <w:t xml:space="preserve">Generalized to be domain-agnostic, agent-agnostic, path-agnostic. Added adaptation guides for agent platform + project type + scale. Added filled-in examples spanning 8-10 diverse use cases per template. Renamed</w:t>
            </w:r>
            <w:r>
              <w:t xml:space="preserve"> </w:t>
            </w:r>
            <w:r>
              <w:rPr>
                <w:rStyle w:val="VerbatimChar"/>
              </w:rPr>
              <w:t xml:space="preserve">deep-research-productized-practice.md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deep-research-strategic-portfolio.md</w:t>
            </w:r>
            <w:r>
              <w:t xml:space="preserve"> </w:t>
            </w:r>
            <w:r>
              <w:t xml:space="preserve">and broadened scope.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when-not-to-use-these-templates"/>
    <w:p>
      <w:pPr>
        <w:pStyle w:val="Heading2"/>
      </w:pPr>
      <w:r>
        <w:t xml:space="preserve">When NOT to use these templates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Single-session tasks</w:t>
      </w:r>
      <w:r>
        <w:t xml:space="preserve"> </w:t>
      </w:r>
      <w:r>
        <w:t xml:space="preserve">— a plain prompt is better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Quick lookups or fact-check</w:t>
      </w:r>
      <w:r>
        <w:t xml:space="preserve"> </w:t>
      </w:r>
      <w:r>
        <w:t xml:space="preserve">— use web search directly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Open-ended exploration where you don't know the right questions yet</w:t>
      </w:r>
      <w:r>
        <w:t xml:space="preserve"> </w:t>
      </w:r>
      <w:r>
        <w:t xml:space="preserve">— have a conversation with the agent first, then use a template once the shape is clear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Strictly personal / non-work tasks</w:t>
      </w:r>
      <w:r>
        <w:t xml:space="preserve"> </w:t>
      </w:r>
      <w:r>
        <w:t xml:space="preserve">— these are calibrated for business-use seriousness; they'll feel bureaucratic for journaling, fitness tracking, etc.</w:t>
      </w:r>
    </w:p>
    <w:p>
      <w:r>
        <w:pict>
          <v:rect style="width:0;height:1.5pt" o:hralign="center" o:hrstd="t" o:hr="t"/>
        </w:pict>
      </w:r>
    </w:p>
    <w:bookmarkEnd w:id="18"/>
    <w:bookmarkStart w:id="19" w:name="X067f50951a35422396f16856b947c2d9fde746c"/>
    <w:p>
      <w:pPr>
        <w:pStyle w:val="Heading2"/>
      </w:pPr>
      <w:r>
        <w:t xml:space="preserve">Design principles baked into every template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Externalize state</w:t>
      </w:r>
      <w:r>
        <w:t xml:space="preserve"> </w:t>
      </w:r>
      <w:r>
        <w:t xml:space="preserve">— context windows compact; disk files persist. Structured files beat memory.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Verify before trusting</w:t>
      </w:r>
      <w:r>
        <w:t xml:space="preserve"> </w:t>
      </w:r>
      <w:r>
        <w:t xml:space="preserve">— disk &gt; memory &gt; handoff-claim. Always verify.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Gate routing on answers, not guesses</w:t>
      </w:r>
      <w:r>
        <w:t xml:space="preserve"> </w:t>
      </w:r>
      <w:r>
        <w:t xml:space="preserve">— blocker questions before work picks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One-task-per-session</w:t>
      </w:r>
      <w:r>
        <w:t xml:space="preserve"> </w:t>
      </w:r>
      <w:r>
        <w:t xml:space="preserve">— topic mixing costs ~40% on agent performance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Fail fast on drift</w:t>
      </w:r>
      <w:r>
        <w:t xml:space="preserve"> </w:t>
      </w:r>
      <w:r>
        <w:t xml:space="preserve">— hard gates with Y/N output contracts, not advisory prose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Compound learning at checkpoints</w:t>
      </w:r>
      <w:r>
        <w:t xml:space="preserve"> </w:t>
      </w:r>
      <w:r>
        <w:t xml:space="preserve">— not only at session end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Survive a counter-brief</w:t>
      </w:r>
      <w:r>
        <w:t xml:space="preserve"> </w:t>
      </w:r>
      <w:r>
        <w:t xml:space="preserve">— every claim cited, every positioning claim has a countervailing view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Graceful degradation</w:t>
      </w:r>
      <w:r>
        <w:t xml:space="preserve"> </w:t>
      </w:r>
      <w:r>
        <w:t xml:space="preserve">— every capability has a documented fallback</w:t>
      </w:r>
    </w:p>
    <w:p>
      <w:pPr>
        <w:pStyle w:val="FirstParagraph"/>
      </w:pPr>
      <w:r>
        <w:t xml:space="preserve">These principles travel across all six templates — they're what makes the set coherent.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2026-04-15T22:46:35Z</dcterms:created>
  <dcterms:modified xsi:type="dcterms:W3CDTF">2026-04-15T22:46:35Z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