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attribution--mmm--deep-research-template"/>
    <w:p>
      <w:pPr>
        <w:pStyle w:val="Heading1"/>
      </w:pPr>
      <w:r>
        <w:t xml:space="preserve">Attribution / MMM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deep-research-technical-reference.md</w:t>
      </w:r>
      <w:r>
        <w:t xml:space="preserve"> </w:t>
      </w:r>
      <w:r>
        <w:t xml:space="preserve">(for vendor/methodology evaluations)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MMM vendor evaluation</w:t>
      </w:r>
      <w:r>
        <w:t xml:space="preserve"> </w:t>
      </w:r>
      <w:r>
        <w:t xml:space="preserve">— Haus / Measured / Prescient / Recast / MMM.co / Rockerbox MMM / Northbeam MMM / build-in-house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MTA vendor evaluation</w:t>
      </w:r>
      <w:r>
        <w:t xml:space="preserve"> </w:t>
      </w:r>
      <w:r>
        <w:t xml:space="preserve">— Northbeam / Triple Whale / Rockerbox / Proper Attribution / Ruler Analytics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Methodology research</w:t>
      </w:r>
      <w:r>
        <w:t xml:space="preserve"> </w:t>
      </w:r>
      <w:r>
        <w:t xml:space="preserve">— Bayesian MMM vs. frequentist; geo-holdout design; unified measurement approaches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 / cookie deprecation impact research</w:t>
      </w:r>
      <w:r>
        <w:t xml:space="preserve"> </w:t>
      </w:r>
      <w:r>
        <w:t xml:space="preserve">— SKAN4, ATT, third-party cookie loss, CAPI adoption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Competitor measurement strategy</w:t>
      </w:r>
      <w:r>
        <w:t xml:space="preserve"> </w:t>
      </w:r>
      <w:r>
        <w:t xml:space="preserve">— how do category leaders measure?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Incrementality testing design</w:t>
      </w:r>
      <w:r>
        <w:t xml:space="preserve"> </w:t>
      </w:r>
      <w:r>
        <w:t xml:space="preserve">— geo holdouts, light-hold, ghost bidding methodology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Academic research</w:t>
      </w:r>
      <w:r>
        <w:t xml:space="preserve"> </w:t>
      </w:r>
      <w:r>
        <w:t xml:space="preserve">— Google's Robyn paper, Meta's paper on MMM, Stanford + Columbia papers on causal inference in marketing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Rockerbox blog</w:t>
      </w:r>
      <w:r>
        <w:t xml:space="preserve"> </w:t>
      </w:r>
      <w:r>
        <w:t xml:space="preserve">— methodology-heavy, open about tradeoffs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Haus blog</w:t>
      </w:r>
      <w:r>
        <w:t xml:space="preserve"> </w:t>
      </w:r>
      <w:r>
        <w:t xml:space="preserve">— incrementality-focused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Measured blog</w:t>
      </w:r>
      <w:r>
        <w:t xml:space="preserve"> </w:t>
      </w:r>
      <w:r>
        <w:t xml:space="preserve">— MMM-first philosophy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Recast blog</w:t>
      </w:r>
      <w:r>
        <w:t xml:space="preserve"> </w:t>
      </w:r>
      <w:r>
        <w:t xml:space="preserve">— Bayesian MMM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Open-source code</w:t>
      </w:r>
      <w:r>
        <w:t xml:space="preserve"> </w:t>
      </w:r>
      <w:r>
        <w:t xml:space="preserve">— Meta's Robyn (R package) is the reference implementation; LightweightMMM from Google; PyMC-Marketing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Conference talks</w:t>
      </w:r>
      <w:r>
        <w:t xml:space="preserve"> </w:t>
      </w:r>
      <w:r>
        <w:t xml:space="preserve">— Measured Summit, Haus Effect, Google Marketing Live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Vendor-sponsored "why we're better" white papers (treat as positioning)</w:t>
      </w:r>
    </w:p>
    <w:p>
      <w:pPr>
        <w:pStyle w:val="Compact"/>
        <w:numPr>
          <w:ilvl w:val="0"/>
          <w:numId w:val="1003"/>
        </w:numPr>
      </w:pPr>
      <w:r>
        <w:t xml:space="preserve">Last-click MTA vendor marketing (outdated framing)</w:t>
      </w:r>
    </w:p>
    <w:p>
      <w:pPr>
        <w:pStyle w:val="Compact"/>
        <w:numPr>
          <w:ilvl w:val="0"/>
          <w:numId w:val="1003"/>
        </w:numPr>
      </w:pPr>
      <w:r>
        <w:t xml:space="preserve">Generic attribution blogs</w:t>
      </w:r>
    </w:p>
    <w:bookmarkEnd w:id="10"/>
    <w:bookmarkStart w:id="14" w:name="question-set-specializations"/>
    <w:p>
      <w:pPr>
        <w:pStyle w:val="Heading2"/>
      </w:pPr>
      <w:r>
        <w:t xml:space="preserve">Question-set specializations</w:t>
      </w:r>
    </w:p>
    <w:bookmarkStart w:id="11" w:name="for-mmm-vendor-evaluation"/>
    <w:p>
      <w:pPr>
        <w:pStyle w:val="Heading3"/>
      </w:pPr>
      <w:r>
        <w:t xml:space="preserve">For MMM vendor evaluation:</w:t>
      </w:r>
    </w:p>
    <w:p>
      <w:pPr>
        <w:pStyle w:val="Compact"/>
        <w:numPr>
          <w:ilvl w:val="0"/>
          <w:numId w:val="1004"/>
        </w:numPr>
      </w:pPr>
      <w:r>
        <w:t xml:space="preserve">Modeling methodology — Bayesian / frequentist? Open about their math?</w:t>
      </w:r>
    </w:p>
    <w:p>
      <w:pPr>
        <w:pStyle w:val="Compact"/>
        <w:numPr>
          <w:ilvl w:val="0"/>
          <w:numId w:val="1004"/>
        </w:numPr>
      </w:pPr>
      <w:r>
        <w:t xml:space="preserve">Data ingestion — which platforms auto, which manual, which require warehouse?</w:t>
      </w:r>
    </w:p>
    <w:p>
      <w:pPr>
        <w:pStyle w:val="Compact"/>
        <w:numPr>
          <w:ilvl w:val="0"/>
          <w:numId w:val="1004"/>
        </w:numPr>
      </w:pPr>
      <w:r>
        <w:t xml:space="preserve">Refresh cadence — daily, weekly, quarterly?</w:t>
      </w:r>
    </w:p>
    <w:p>
      <w:pPr>
        <w:pStyle w:val="Compact"/>
        <w:numPr>
          <w:ilvl w:val="0"/>
          <w:numId w:val="1004"/>
        </w:numPr>
      </w:pPr>
      <w:r>
        <w:t xml:space="preserve">Incrementality integration — do they run tests or only model?</w:t>
      </w:r>
    </w:p>
    <w:p>
      <w:pPr>
        <w:pStyle w:val="Compact"/>
        <w:numPr>
          <w:ilvl w:val="0"/>
          <w:numId w:val="1004"/>
        </w:numPr>
      </w:pPr>
      <w:r>
        <w:t xml:space="preserve">Confidence intervals — reported? How wide for typical client?</w:t>
      </w:r>
    </w:p>
    <w:p>
      <w:pPr>
        <w:pStyle w:val="Compact"/>
        <w:numPr>
          <w:ilvl w:val="0"/>
          <w:numId w:val="1004"/>
        </w:numPr>
      </w:pPr>
      <w:r>
        <w:t xml:space="preserve">Customer validation — public case studies with named brands?</w:t>
      </w:r>
    </w:p>
    <w:p>
      <w:pPr>
        <w:pStyle w:val="Compact"/>
        <w:numPr>
          <w:ilvl w:val="0"/>
          <w:numId w:val="1004"/>
        </w:numPr>
      </w:pPr>
      <w:r>
        <w:t xml:space="preserve">Stakeholder UX — is the output readable by a non-DS VP?</w:t>
      </w:r>
    </w:p>
    <w:p>
      <w:pPr>
        <w:pStyle w:val="Compact"/>
        <w:numPr>
          <w:ilvl w:val="0"/>
          <w:numId w:val="1004"/>
        </w:numPr>
      </w:pPr>
      <w:r>
        <w:t xml:space="preserve">Pricing — annual tier + data-source add-on + custom-modeling cost?</w:t>
      </w:r>
    </w:p>
    <w:p>
      <w:pPr>
        <w:pStyle w:val="Compact"/>
        <w:numPr>
          <w:ilvl w:val="0"/>
          <w:numId w:val="1004"/>
        </w:numPr>
      </w:pPr>
      <w:r>
        <w:t xml:space="preserve">Time-to-value — realistic weeks from kickoff to usable model?</w:t>
      </w:r>
    </w:p>
    <w:p>
      <w:pPr>
        <w:pStyle w:val="Compact"/>
        <w:numPr>
          <w:ilvl w:val="0"/>
          <w:numId w:val="1004"/>
        </w:numPr>
      </w:pPr>
      <w:r>
        <w:t xml:space="preserve">Exit cost — can you export model priors / feature engineering / contributions?</w:t>
      </w:r>
    </w:p>
    <w:bookmarkEnd w:id="11"/>
    <w:bookmarkStart w:id="12" w:name="for-methodology-research"/>
    <w:p>
      <w:pPr>
        <w:pStyle w:val="Heading3"/>
      </w:pPr>
      <w:r>
        <w:t xml:space="preserve">For methodology research:</w:t>
      </w:r>
    </w:p>
    <w:p>
      <w:pPr>
        <w:pStyle w:val="Compact"/>
        <w:numPr>
          <w:ilvl w:val="0"/>
          <w:numId w:val="1005"/>
        </w:numPr>
      </w:pPr>
      <w:r>
        <w:t xml:space="preserve">Adstock function choice — geometric, delayed, Weibull?</w:t>
      </w:r>
    </w:p>
    <w:p>
      <w:pPr>
        <w:pStyle w:val="Compact"/>
        <w:numPr>
          <w:ilvl w:val="0"/>
          <w:numId w:val="1005"/>
        </w:numPr>
      </w:pPr>
      <w:r>
        <w:t xml:space="preserve">Saturation function — Hill, logistic, power?</w:t>
      </w:r>
    </w:p>
    <w:p>
      <w:pPr>
        <w:pStyle w:val="Compact"/>
        <w:numPr>
          <w:ilvl w:val="0"/>
          <w:numId w:val="1005"/>
        </w:numPr>
      </w:pPr>
      <w:r>
        <w:t xml:space="preserve">Priors for channel effects — how do vendors / in-house teams set them?</w:t>
      </w:r>
    </w:p>
    <w:p>
      <w:pPr>
        <w:pStyle w:val="Compact"/>
        <w:numPr>
          <w:ilvl w:val="0"/>
          <w:numId w:val="1005"/>
        </w:numPr>
      </w:pPr>
      <w:r>
        <w:t xml:space="preserve">Seasonality handling — Fourier terms, dummy variables, spline?</w:t>
      </w:r>
    </w:p>
    <w:p>
      <w:pPr>
        <w:pStyle w:val="Compact"/>
        <w:numPr>
          <w:ilvl w:val="0"/>
          <w:numId w:val="1005"/>
        </w:numPr>
      </w:pPr>
      <w:r>
        <w:t xml:space="preserve">External factor integration — weather, competitor activity, macro trends?</w:t>
      </w:r>
    </w:p>
    <w:p>
      <w:pPr>
        <w:pStyle w:val="Compact"/>
        <w:numPr>
          <w:ilvl w:val="0"/>
          <w:numId w:val="1005"/>
        </w:numPr>
      </w:pPr>
      <w:r>
        <w:t xml:space="preserve">Brand vs. performance split — how to handle brand campaigns in MMM?</w:t>
      </w:r>
    </w:p>
    <w:p>
      <w:pPr>
        <w:pStyle w:val="Compact"/>
        <w:numPr>
          <w:ilvl w:val="0"/>
          <w:numId w:val="1005"/>
        </w:numPr>
      </w:pPr>
      <w:r>
        <w:t xml:space="preserve">Cross-channel interaction — how (or do) vendors handle channel-to-channel effects?</w:t>
      </w:r>
    </w:p>
    <w:bookmarkEnd w:id="12"/>
    <w:bookmarkStart w:id="13" w:name="for-ios--cookie-research"/>
    <w:p>
      <w:pPr>
        <w:pStyle w:val="Heading3"/>
      </w:pPr>
      <w:r>
        <w:t xml:space="preserve">For iOS / cookie research:</w:t>
      </w:r>
    </w:p>
    <w:p>
      <w:pPr>
        <w:pStyle w:val="Compact"/>
        <w:numPr>
          <w:ilvl w:val="0"/>
          <w:numId w:val="1006"/>
        </w:numPr>
      </w:pPr>
      <w:r>
        <w:t xml:space="preserve">Meta CAPI adoption benchmarks — what % of events server-side?</w:t>
      </w:r>
    </w:p>
    <w:p>
      <w:pPr>
        <w:pStyle w:val="Compact"/>
        <w:numPr>
          <w:ilvl w:val="0"/>
          <w:numId w:val="1006"/>
        </w:numPr>
      </w:pPr>
      <w:r>
        <w:t xml:space="preserve">SKAN4 impact by vertical — where has iOS attribution collapsed most?</w:t>
      </w:r>
    </w:p>
    <w:p>
      <w:pPr>
        <w:pStyle w:val="Compact"/>
        <w:numPr>
          <w:ilvl w:val="0"/>
          <w:numId w:val="1006"/>
        </w:numPr>
      </w:pPr>
      <w:r>
        <w:t xml:space="preserve">Conversion API effectiveness — measured match rate, conversion restoration</w:t>
      </w:r>
    </w:p>
    <w:p>
      <w:pPr>
        <w:pStyle w:val="Compact"/>
        <w:numPr>
          <w:ilvl w:val="0"/>
          <w:numId w:val="1006"/>
        </w:numPr>
      </w:pPr>
      <w:r>
        <w:t xml:space="preserve">Third-party cookie deprecation timeline — latest schedule, mitigation patterns</w:t>
      </w:r>
    </w:p>
    <w:p>
      <w:pPr>
        <w:pStyle w:val="Compact"/>
        <w:numPr>
          <w:ilvl w:val="0"/>
          <w:numId w:val="1006"/>
        </w:numPr>
      </w:pPr>
      <w:r>
        <w:t xml:space="preserve">First-party data maturity benchmarks — CDP adoption by category</w:t>
      </w:r>
    </w:p>
    <w:bookmarkEnd w:id="13"/>
    <w:bookmarkEnd w:id="14"/>
    <w:bookmarkStart w:id="15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{{KNOWLEDGE_BASE_ROOT}}/mmm-and-response-curves/wiki/_index.md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primary KB, 20 articles</w:t>
      </w:r>
      <w:r>
        <w:t xml:space="preserve"> </w:t>
      </w:r>
      <w:r>
        <w:t xml:space="preserve">— Hill curves, mROAS, PPC engine methodology, response-curve fitting</w:t>
      </w:r>
    </w:p>
    <w:p>
      <w:pPr>
        <w:pStyle w:val="FirstParagraph"/>
      </w:pPr>
      <w:r>
        <w:t xml:space="preserve">Cite specific KB articles in the Methodology section of the deliverable.</w:t>
      </w:r>
    </w:p>
    <w:bookmarkEnd w:id="15"/>
    <w:bookmarkStart w:id="16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08"/>
        </w:numPr>
      </w:pPr>
      <w:r>
        <w:t xml:space="preserve">"Evaluate Haus vs. Measured vs. Recast for</w:t>
      </w:r>
      <w:r>
        <w:t xml:space="preserve"> </w:t>
      </w:r>
      <m:oMath>
        <m:r>
          <m:t>80</m:t>
        </m:r>
        <m:r>
          <m:t>M</m:t>
        </m:r>
        <m:r>
          <m:t>D</m:t>
        </m:r>
        <m:r>
          <m:t>T</m:t>
        </m:r>
        <m:r>
          <m:t>C</m:t>
        </m:r>
        <m:r>
          <m:t>b</m:t>
        </m:r>
        <m:r>
          <m:t>r</m:t>
        </m:r>
        <m:r>
          <m:t>a</m:t>
        </m:r>
        <m:r>
          <m:t>n</m:t>
        </m:r>
        <m:r>
          <m:t>d</m:t>
        </m:r>
        <m:r>
          <m:t>r</m:t>
        </m:r>
        <m:r>
          <m:t>e</m:t>
        </m:r>
        <m:r>
          <m:t>a</m:t>
        </m:r>
        <m:r>
          <m:t>d</m:t>
        </m:r>
        <m:r>
          <m:t>y</m:t>
        </m:r>
        <m:r>
          <m:t>t</m:t>
        </m:r>
        <m:r>
          <m:t>o</m:t>
        </m:r>
        <m:r>
          <m:t>r</m:t>
        </m:r>
        <m:r>
          <m:t>e</m:t>
        </m:r>
        <m:r>
          <m:t>p</m:t>
        </m:r>
        <m:r>
          <m:t>l</m:t>
        </m:r>
        <m:r>
          <m:t>a</m:t>
        </m:r>
        <m:r>
          <m:t>c</m:t>
        </m:r>
        <m:r>
          <m:t>e</m:t>
        </m:r>
        <m:r>
          <m:t>i</m:t>
        </m:r>
        <m:r>
          <m:t>n</m:t>
        </m:r>
        <m:r>
          <m:rPr>
            <m:sty m:val="p"/>
          </m:rPr>
          <m:t>−</m:t>
        </m:r>
        <m:r>
          <m:t>h</m:t>
        </m:r>
        <m:r>
          <m:t>o</m:t>
        </m:r>
        <m:r>
          <m:t>u</m:t>
        </m:r>
        <m:r>
          <m:t>s</m:t>
        </m:r>
        <m:r>
          <m:t>e</m:t>
        </m:r>
        <m:r>
          <m:t>M</m:t>
        </m:r>
        <m:r>
          <m:t>M</m:t>
        </m:r>
        <m:r>
          <m:t>M</m:t>
        </m:r>
        <m:r>
          <m:rPr>
            <m:sty m:val="p"/>
          </m:rPr>
          <m:t>;</m:t>
        </m:r>
        <m:r>
          <m:t>n</m:t>
        </m:r>
        <m:r>
          <m:t>e</m:t>
        </m:r>
        <m:r>
          <m:t>e</m:t>
        </m:r>
        <m:r>
          <m:t>d</m:t>
        </m:r>
        <m:r>
          <m:rPr>
            <m:sty m:val="p"/>
          </m:rPr>
          <m:t>:</m:t>
        </m:r>
        <m:r>
          <m:t>90</m:t>
        </m:r>
        <m:r>
          <m:rPr>
            <m:sty m:val="p"/>
          </m:rPr>
          <m:t>−</m:t>
        </m:r>
        <m:r>
          <m:t>d</m:t>
        </m:r>
        <m:r>
          <m:t>a</m:t>
        </m:r>
        <m:r>
          <m:t>y</m:t>
        </m:r>
        <m:r>
          <m:t>t</m:t>
        </m:r>
        <m:r>
          <m:t>i</m:t>
        </m:r>
        <m:r>
          <m:t>m</m:t>
        </m:r>
        <m:r>
          <m:t>e</m:t>
        </m:r>
        <m:r>
          <m:rPr>
            <m:sty m:val="p"/>
          </m:rPr>
          <m:t>−</m:t>
        </m:r>
        <m:r>
          <m:t>t</m:t>
        </m:r>
        <m:r>
          <m:t>o</m:t>
        </m:r>
        <m:r>
          <m:rPr>
            <m:sty m:val="p"/>
          </m:rPr>
          <m:t>−</m:t>
        </m:r>
        <m:r>
          <m:t>v</m:t>
        </m:r>
        <m:r>
          <m:t>a</m:t>
        </m:r>
        <m:r>
          <m:t>l</m:t>
        </m:r>
        <m:r>
          <m:t>u</m:t>
        </m:r>
        <m:r>
          <m:t>e</m:t>
        </m:r>
        <m:r>
          <m:rPr>
            <m:sty m:val="p"/>
          </m:rPr>
          <m:t>,</m:t>
        </m:r>
        <m:r>
          <m:t>q</m:t>
        </m:r>
        <m:r>
          <m:t>u</m:t>
        </m:r>
        <m:r>
          <m:t>a</m:t>
        </m:r>
        <m:r>
          <m:t>r</m:t>
        </m:r>
        <m:r>
          <m:t>t</m:t>
        </m:r>
        <m:r>
          <m:t>e</m:t>
        </m:r>
        <m:r>
          <m:t>r</m:t>
        </m:r>
        <m:r>
          <m:t>l</m:t>
        </m:r>
        <m:r>
          <m:t>y</m:t>
        </m:r>
        <m:r>
          <m:t>r</m:t>
        </m:r>
        <m:r>
          <m:t>e</m:t>
        </m:r>
        <m:r>
          <m:t>f</m:t>
        </m:r>
        <m:r>
          <m:t>r</m:t>
        </m:r>
        <m:r>
          <m:t>e</m:t>
        </m:r>
        <m:r>
          <m:t>s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≤</m:t>
        </m:r>
      </m:oMath>
      <w:r>
        <w:t xml:space="preserve">150K/year, confidence intervals reported"</w:t>
      </w:r>
    </w:p>
    <w:p>
      <w:pPr>
        <w:pStyle w:val="Compact"/>
        <w:numPr>
          <w:ilvl w:val="0"/>
          <w:numId w:val="1008"/>
        </w:numPr>
      </w:pPr>
      <w:r>
        <w:t xml:space="preserve">"Research current best-practice for Bayesian MMM vs. frequentist MMM — performance, speed, stakeholder understandability, regret rates on decisions"</w:t>
      </w:r>
    </w:p>
    <w:p>
      <w:pPr>
        <w:pStyle w:val="Compact"/>
        <w:numPr>
          <w:ilvl w:val="0"/>
          <w:numId w:val="1008"/>
        </w:numPr>
      </w:pPr>
      <w:r>
        <w:t xml:space="preserve">"Research measured impact of iOS 14.5 + SKAN4 on ecommerce MMM contributions to Meta — pre/post contribution shifts at peer brands"</w:t>
      </w:r>
    </w:p>
    <w:p>
      <w:pPr>
        <w:pStyle w:val="Compact"/>
        <w:numPr>
          <w:ilvl w:val="0"/>
          <w:numId w:val="1008"/>
        </w:numPr>
      </w:pPr>
      <w:r>
        <w:t xml:space="preserve">"Evaluate Northbeam vs. Triple Whale MTA for a $15M DTC brand — feature parity, data accuracy, migration cost"</w:t>
      </w:r>
    </w:p>
    <w:p>
      <w:pPr>
        <w:pStyle w:val="Compact"/>
        <w:numPr>
          <w:ilvl w:val="0"/>
          <w:numId w:val="1008"/>
        </w:numPr>
      </w:pPr>
      <w:r>
        <w:t xml:space="preserve">"Research incrementality test design — geo-holdout vs. light-hold vs. ghost bidding — for a brand that can't run geo-holdouts (no regional variance) — what are the best alternatives?"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2026-04-15T22:46:44Z</dcterms:created>
  <dcterms:modified xsi:type="dcterms:W3CDTF">2026-04-15T22:46:44Z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