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2274210e46b36979e1913e2b7b9ba85db334745"/>
    <w:p>
      <w:pPr>
        <w:pStyle w:val="Heading1"/>
      </w:pPr>
      <w:r>
        <w:t xml:space="preserve">B2B Lead Generation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deep-research-technical-reference.md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ICP benchmarking research</w:t>
      </w:r>
      <w:r>
        <w:t xml:space="preserve"> </w:t>
      </w:r>
      <w:r>
        <w:t xml:space="preserve">— what's the ICP at peer B2B SaaS / services companies?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ABM platform evaluation</w:t>
      </w:r>
      <w:r>
        <w:t xml:space="preserve"> </w:t>
      </w:r>
      <w:r>
        <w:t xml:space="preserve">— Demandbase / 6sense / Terminus / Rollworks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Intent data platform evaluation</w:t>
      </w:r>
      <w:r>
        <w:t xml:space="preserve"> </w:t>
      </w:r>
      <w:r>
        <w:t xml:space="preserve">— Bombora / 6sense / ZoomInfo Intent / Slintel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 engagement platform</w:t>
      </w:r>
      <w:r>
        <w:t xml:space="preserve"> </w:t>
      </w:r>
      <w:r>
        <w:t xml:space="preserve">— Outreach / Salesloft / Apollo / Groove / Reply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B2B content engine benchmarking</w:t>
      </w:r>
      <w:r>
        <w:t xml:space="preserve"> </w:t>
      </w:r>
      <w:r>
        <w:t xml:space="preserve">— content velocity, format mix, MQL conversion at peer brands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Cadence / sequence benchmarks</w:t>
      </w:r>
      <w:r>
        <w:t xml:space="preserve"> </w:t>
      </w:r>
      <w:r>
        <w:t xml:space="preserve">— email open rates, reply rates, meeting-set rates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Pipeline attribution methodology</w:t>
      </w:r>
      <w:r>
        <w:t xml:space="preserve"> </w:t>
      </w:r>
      <w:r>
        <w:t xml:space="preserve">— multi-touch vs. time-decay vs. W-shaped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SaaStr</w:t>
      </w:r>
      <w:r>
        <w:t xml:space="preserve"> </w:t>
      </w:r>
      <w:r>
        <w:t xml:space="preserve">— operator voice, SaaS benchmarks, pipeline-building talks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Lenny's Newsletter</w:t>
      </w:r>
      <w:r>
        <w:t xml:space="preserve"> </w:t>
      </w:r>
      <w:r>
        <w:t xml:space="preserve">— PLG + B2B growth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Forrester B2B research</w:t>
      </w:r>
      <w:r>
        <w:t xml:space="preserve"> </w:t>
      </w:r>
      <w:r>
        <w:t xml:space="preserve">— demand gen benchmarks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Gartner B2B research</w:t>
      </w:r>
      <w:r>
        <w:t xml:space="preserve"> </w:t>
      </w:r>
      <w:r>
        <w:t xml:space="preserve">— ABM + intent platform evaluations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Bridge Group SDR benchmark reports</w:t>
      </w:r>
      <w:r>
        <w:t xml:space="preserve"> </w:t>
      </w:r>
      <w:r>
        <w:t xml:space="preserve">— SDR productivity, tools, pay structures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TOPO / Tenbound</w:t>
      </w:r>
      <w:r>
        <w:t xml:space="preserve"> </w:t>
      </w:r>
      <w:r>
        <w:t xml:space="preserve">— SDR-specific research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Heinz Marketing, Ceros, TrustRadius</w:t>
      </w:r>
      <w:r>
        <w:t xml:space="preserve"> </w:t>
      </w:r>
      <w:r>
        <w:t xml:space="preserve">— B2B-specific operator content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Earnings calls of public B2B SaaS</w:t>
      </w:r>
      <w:r>
        <w:t xml:space="preserve"> </w:t>
      </w:r>
      <w:r>
        <w:t xml:space="preserve">— HubSpot, Salesforce, ZoomInfo; disclose benchmarks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Vendor-marketed "why we're better" whitepapers (sales bias)</w:t>
      </w:r>
    </w:p>
    <w:p>
      <w:pPr>
        <w:pStyle w:val="Compact"/>
        <w:numPr>
          <w:ilvl w:val="0"/>
          <w:numId w:val="1003"/>
        </w:numPr>
      </w:pPr>
      <w:r>
        <w:t xml:space="preserve">AI-generated LinkedIn "top 10 B2B tips"</w:t>
      </w:r>
    </w:p>
    <w:p>
      <w:pPr>
        <w:pStyle w:val="Compact"/>
        <w:numPr>
          <w:ilvl w:val="0"/>
          <w:numId w:val="1003"/>
        </w:numPr>
      </w:pPr>
      <w:r>
        <w:t xml:space="preserve">Agency-published case studies without verifiable numbers</w:t>
      </w:r>
    </w:p>
    <w:bookmarkEnd w:id="10"/>
    <w:bookmarkStart w:id="15" w:name="question-set-specializations"/>
    <w:p>
      <w:pPr>
        <w:pStyle w:val="Heading2"/>
      </w:pPr>
      <w:r>
        <w:t xml:space="preserve">Question-set specializations</w:t>
      </w:r>
    </w:p>
    <w:bookmarkStart w:id="11" w:name="for-icp-benchmarking"/>
    <w:p>
      <w:pPr>
        <w:pStyle w:val="Heading3"/>
      </w:pPr>
      <w:r>
        <w:t xml:space="preserve">For ICP benchmarking:</w:t>
      </w:r>
    </w:p>
    <w:p>
      <w:pPr>
        <w:pStyle w:val="Compact"/>
        <w:numPr>
          <w:ilvl w:val="0"/>
          <w:numId w:val="1004"/>
        </w:numPr>
      </w:pPr>
      <w:r>
        <w:t xml:space="preserve">How peer companies define ICP — firmographic + behavioral + fit scoring</w:t>
      </w:r>
    </w:p>
    <w:p>
      <w:pPr>
        <w:pStyle w:val="Compact"/>
        <w:numPr>
          <w:ilvl w:val="0"/>
          <w:numId w:val="1004"/>
        </w:numPr>
      </w:pPr>
      <w:r>
        <w:t xml:space="preserve">ICP scoring models in use</w:t>
      </w:r>
    </w:p>
    <w:p>
      <w:pPr>
        <w:pStyle w:val="Compact"/>
        <w:numPr>
          <w:ilvl w:val="0"/>
          <w:numId w:val="1004"/>
        </w:numPr>
      </w:pPr>
      <w:r>
        <w:t xml:space="preserve">ICP precision vs. volume tradeoffs</w:t>
      </w:r>
    </w:p>
    <w:p>
      <w:pPr>
        <w:pStyle w:val="Compact"/>
        <w:numPr>
          <w:ilvl w:val="0"/>
          <w:numId w:val="1004"/>
        </w:numPr>
      </w:pPr>
      <w:r>
        <w:t xml:space="preserve">Common ICP failures (too loose / too tight)</w:t>
      </w:r>
    </w:p>
    <w:p>
      <w:pPr>
        <w:pStyle w:val="Compact"/>
        <w:numPr>
          <w:ilvl w:val="0"/>
          <w:numId w:val="1004"/>
        </w:numPr>
      </w:pPr>
      <w:r>
        <w:t xml:space="preserve">ICP calibration cadence (quarterly? annually?)</w:t>
      </w:r>
    </w:p>
    <w:bookmarkEnd w:id="11"/>
    <w:bookmarkStart w:id="12" w:name="for-abm-platform-evaluation"/>
    <w:p>
      <w:pPr>
        <w:pStyle w:val="Heading3"/>
      </w:pPr>
      <w:r>
        <w:t xml:space="preserve">For ABM platform evaluation: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deep-research-technical-reference.md</w:t>
      </w:r>
      <w:r>
        <w:t xml:space="preserve"> </w:t>
      </w:r>
      <w:r>
        <w:t xml:space="preserve">specializations:</w:t>
      </w:r>
    </w:p>
    <w:p>
      <w:pPr>
        <w:pStyle w:val="Compact"/>
        <w:numPr>
          <w:ilvl w:val="0"/>
          <w:numId w:val="1005"/>
        </w:numPr>
      </w:pPr>
      <w:r>
        <w:t xml:space="preserve">Account identification + intent</w:t>
      </w:r>
    </w:p>
    <w:p>
      <w:pPr>
        <w:pStyle w:val="Compact"/>
        <w:numPr>
          <w:ilvl w:val="0"/>
          <w:numId w:val="1005"/>
        </w:numPr>
      </w:pPr>
      <w:r>
        <w:t xml:space="preserve">Advertising capability (programmatic, paid social, display)</w:t>
      </w:r>
    </w:p>
    <w:p>
      <w:pPr>
        <w:pStyle w:val="Compact"/>
        <w:numPr>
          <w:ilvl w:val="0"/>
          <w:numId w:val="1005"/>
        </w:numPr>
      </w:pPr>
      <w:r>
        <w:t xml:space="preserve">Sales enablement (account intelligence to reps)</w:t>
      </w:r>
    </w:p>
    <w:p>
      <w:pPr>
        <w:pStyle w:val="Compact"/>
        <w:numPr>
          <w:ilvl w:val="0"/>
          <w:numId w:val="1005"/>
        </w:numPr>
      </w:pPr>
      <w:r>
        <w:t xml:space="preserve">Measurement (account-level pipeline attribution)</w:t>
      </w:r>
    </w:p>
    <w:p>
      <w:pPr>
        <w:pStyle w:val="Compact"/>
        <w:numPr>
          <w:ilvl w:val="0"/>
          <w:numId w:val="1005"/>
        </w:numPr>
      </w:pPr>
      <w:r>
        <w:t xml:space="preserve">Integration depth (CRM, MAP, sales engagement)</w:t>
      </w:r>
    </w:p>
    <w:p>
      <w:pPr>
        <w:pStyle w:val="Compact"/>
        <w:numPr>
          <w:ilvl w:val="0"/>
          <w:numId w:val="1005"/>
        </w:numPr>
      </w:pPr>
      <w:r>
        <w:t xml:space="preserve">Pricing — tier, by-user, by-account</w:t>
      </w:r>
    </w:p>
    <w:p>
      <w:pPr>
        <w:pStyle w:val="Compact"/>
        <w:numPr>
          <w:ilvl w:val="0"/>
          <w:numId w:val="1005"/>
        </w:numPr>
      </w:pPr>
      <w:r>
        <w:t xml:space="preserve">Customer results at named brands</w:t>
      </w:r>
    </w:p>
    <w:p>
      <w:pPr>
        <w:pStyle w:val="Compact"/>
        <w:numPr>
          <w:ilvl w:val="0"/>
          <w:numId w:val="1005"/>
        </w:numPr>
      </w:pPr>
      <w:r>
        <w:t xml:space="preserve">Implementation time + complexity</w:t>
      </w:r>
    </w:p>
    <w:bookmarkEnd w:id="12"/>
    <w:bookmarkStart w:id="13" w:name="for-cadence--sequence-benchmarks"/>
    <w:p>
      <w:pPr>
        <w:pStyle w:val="Heading3"/>
      </w:pPr>
      <w:r>
        <w:t xml:space="preserve">For cadence / sequence benchmarks:</w:t>
      </w:r>
    </w:p>
    <w:p>
      <w:pPr>
        <w:pStyle w:val="Compact"/>
        <w:numPr>
          <w:ilvl w:val="0"/>
          <w:numId w:val="1006"/>
        </w:numPr>
      </w:pPr>
      <w:r>
        <w:t xml:space="preserve">Email open rates by industry</w:t>
      </w:r>
    </w:p>
    <w:p>
      <w:pPr>
        <w:pStyle w:val="Compact"/>
        <w:numPr>
          <w:ilvl w:val="0"/>
          <w:numId w:val="1006"/>
        </w:numPr>
      </w:pPr>
      <w:r>
        <w:t xml:space="preserve">Reply rates by step, by channel</w:t>
      </w:r>
    </w:p>
    <w:p>
      <w:pPr>
        <w:pStyle w:val="Compact"/>
        <w:numPr>
          <w:ilvl w:val="0"/>
          <w:numId w:val="1006"/>
        </w:numPr>
      </w:pPr>
      <w:r>
        <w:t xml:space="preserve">Meeting-set rates by segment</w:t>
      </w:r>
    </w:p>
    <w:p>
      <w:pPr>
        <w:pStyle w:val="Compact"/>
        <w:numPr>
          <w:ilvl w:val="0"/>
          <w:numId w:val="1006"/>
        </w:numPr>
      </w:pPr>
      <w:r>
        <w:t xml:space="preserve">Optimal cadence length (days + touches)</w:t>
      </w:r>
    </w:p>
    <w:p>
      <w:pPr>
        <w:pStyle w:val="Compact"/>
        <w:numPr>
          <w:ilvl w:val="0"/>
          <w:numId w:val="1006"/>
        </w:numPr>
      </w:pPr>
      <w:r>
        <w:t xml:space="preserve">Personalization depth impact</w:t>
      </w:r>
    </w:p>
    <w:p>
      <w:pPr>
        <w:pStyle w:val="Compact"/>
        <w:numPr>
          <w:ilvl w:val="0"/>
          <w:numId w:val="1006"/>
        </w:numPr>
      </w:pPr>
      <w:r>
        <w:t xml:space="preserve">LinkedIn vs. email vs. phone mix</w:t>
      </w:r>
    </w:p>
    <w:p>
      <w:pPr>
        <w:pStyle w:val="Compact"/>
        <w:numPr>
          <w:ilvl w:val="0"/>
          <w:numId w:val="1006"/>
        </w:numPr>
      </w:pPr>
      <w:r>
        <w:t xml:space="preserve">Best-performing subject line / opening patterns</w:t>
      </w:r>
    </w:p>
    <w:bookmarkEnd w:id="13"/>
    <w:bookmarkStart w:id="14" w:name="for-pipeline-attribution"/>
    <w:p>
      <w:pPr>
        <w:pStyle w:val="Heading3"/>
      </w:pPr>
      <w:r>
        <w:t xml:space="preserve">For pipeline attribution:</w:t>
      </w:r>
    </w:p>
    <w:p>
      <w:pPr>
        <w:pStyle w:val="Compact"/>
        <w:numPr>
          <w:ilvl w:val="0"/>
          <w:numId w:val="1007"/>
        </w:numPr>
      </w:pPr>
      <w:r>
        <w:t xml:space="preserve">Multi-touch model choices (linear, time-decay, W-shaped, U-shaped, custom)</w:t>
      </w:r>
    </w:p>
    <w:p>
      <w:pPr>
        <w:pStyle w:val="Compact"/>
        <w:numPr>
          <w:ilvl w:val="0"/>
          <w:numId w:val="1007"/>
        </w:numPr>
      </w:pPr>
      <w:r>
        <w:t xml:space="preserve">First-touch vs. last-touch tradeoffs for long sales cycles</w:t>
      </w:r>
    </w:p>
    <w:p>
      <w:pPr>
        <w:pStyle w:val="Compact"/>
        <w:numPr>
          <w:ilvl w:val="0"/>
          <w:numId w:val="1007"/>
        </w:numPr>
      </w:pPr>
      <w:r>
        <w:t xml:space="preserve">Offline / event attribution integration</w:t>
      </w:r>
    </w:p>
    <w:p>
      <w:pPr>
        <w:pStyle w:val="Compact"/>
        <w:numPr>
          <w:ilvl w:val="0"/>
          <w:numId w:val="1007"/>
        </w:numPr>
      </w:pPr>
      <w:r>
        <w:t xml:space="preserve">Opportunity-influence vs. source credit</w:t>
      </w:r>
    </w:p>
    <w:p>
      <w:pPr>
        <w:pStyle w:val="Compact"/>
        <w:numPr>
          <w:ilvl w:val="0"/>
          <w:numId w:val="1007"/>
        </w:numPr>
      </w:pPr>
      <w:r>
        <w:t xml:space="preserve">Marketing-to-sales credit allocation methodology</w:t>
      </w:r>
    </w:p>
    <w:bookmarkEnd w:id="14"/>
    <w:bookmarkEnd w:id="15"/>
    <w:bookmarkStart w:id="16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B2B content frameworks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 attribution methodology applies to B2B with adjustments</w:t>
      </w:r>
    </w:p>
    <w:bookmarkEnd w:id="16"/>
    <w:bookmarkStart w:id="17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9"/>
        </w:numPr>
      </w:pPr>
      <w:r>
        <w:t xml:space="preserve">"Research ICP + target account methodology at top-10 high-growth B2B SaaS companies</w:t>
      </w:r>
      <w:r>
        <w:t xml:space="preserve"> </w:t>
      </w:r>
      <m:oMath>
        <m:r>
          <m:t>50</m:t>
        </m:r>
        <m:r>
          <m:rPr>
            <m:sty m:val="p"/>
          </m:rPr>
          <m:t>−</m:t>
        </m:r>
      </m:oMath>
      <w:r>
        <w:t xml:space="preserve">300M ARR — documented via interviews, blog posts, S-1 filings"</w:t>
      </w:r>
    </w:p>
    <w:p>
      <w:pPr>
        <w:pStyle w:val="Compact"/>
        <w:numPr>
          <w:ilvl w:val="0"/>
          <w:numId w:val="1009"/>
        </w:numPr>
      </w:pPr>
      <w:r>
        <w:t xml:space="preserve">"Evaluate Demandbase vs. 6sense vs. Terminus vs. Rollworks for $80M ARR mid-market-to-enterprise B2B SaaS — feature parity, pricing, customer results"</w:t>
      </w:r>
    </w:p>
    <w:p>
      <w:pPr>
        <w:pStyle w:val="Compact"/>
        <w:numPr>
          <w:ilvl w:val="0"/>
          <w:numId w:val="1009"/>
        </w:numPr>
      </w:pPr>
      <w:r>
        <w:t xml:space="preserve">"Research SDR cadence best-practice 2026 — reply rates, meeting-set rates, cadence structure, personalization depth; sources: Bridge Group, Tenbound, vendor reports"</w:t>
      </w:r>
    </w:p>
    <w:p>
      <w:pPr>
        <w:pStyle w:val="Compact"/>
        <w:numPr>
          <w:ilvl w:val="0"/>
          <w:numId w:val="1009"/>
        </w:numPr>
      </w:pPr>
      <w:r>
        <w:t xml:space="preserve">"Research pipeline attribution methodology for B2B with 4-9 month sales cycles — multi-touch model choices, event/offline integration, marketing credit allocation"</w:t>
      </w:r>
    </w:p>
    <w:p>
      <w:pPr>
        <w:pStyle w:val="Compact"/>
        <w:numPr>
          <w:ilvl w:val="0"/>
          <w:numId w:val="1009"/>
        </w:numPr>
      </w:pPr>
      <w:r>
        <w:t xml:space="preserve">"Evaluate Outreach vs. Salesloft vs. Apollo for $30M ARR Series B scaling SDR team from 5 to 25 — feature parity, scale ceiling, pricing"</w:t>
      </w:r>
    </w:p>
    <w:p>
      <w:pPr>
        <w:pStyle w:val="Compact"/>
        <w:numPr>
          <w:ilvl w:val="0"/>
          <w:numId w:val="1009"/>
        </w:numPr>
      </w:pPr>
      <w:r>
        <w:t xml:space="preserve">"Research B2B content engine benchmarks at peer brands — content velocity, format mix (blog, webinar, report, podcast), MQL conversion rates"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2026-04-15T22:46:40Z</dcterms:created>
  <dcterms:modified xsi:type="dcterms:W3CDTF">2026-04-15T22:46:40Z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