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2b-lead-generation--resumption"/>
    <w:p>
      <w:pPr>
        <w:pStyle w:val="Heading1"/>
      </w:pPr>
      <w:r>
        <w:t xml:space="preserve">B2B Lead Generation — Resumption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~/.claude/templates/session-kickoff-prompt.md</w:t>
      </w:r>
    </w:p>
    <w:p>
      <w:r>
        <w:pict>
          <v:rect style="width:0;height:1.5pt" o:hralign="center" o:hrstd="t" o:hr="t"/>
        </w:pict>
      </w:r>
    </w:p>
    <w:bookmarkStart w:id="9" w:name="session-scope-examples"/>
    <w:p>
      <w:pPr>
        <w:pStyle w:val="Heading2"/>
      </w:pPr>
      <w:r>
        <w:t xml:space="preserve">Session scope examples</w:t>
      </w:r>
    </w:p>
    <w:p>
      <w:pPr>
        <w:pStyle w:val="Compact"/>
        <w:numPr>
          <w:ilvl w:val="0"/>
          <w:numId w:val="1001"/>
        </w:numPr>
      </w:pPr>
      <w:r>
        <w:t xml:space="preserve">"Weekly pipeline review + gap diagnosis"</w:t>
      </w:r>
    </w:p>
    <w:p>
      <w:pPr>
        <w:pStyle w:val="Compact"/>
        <w:numPr>
          <w:ilvl w:val="0"/>
          <w:numId w:val="1001"/>
        </w:numPr>
      </w:pPr>
      <w:r>
        <w:t xml:space="preserve">"SDR cadence iteration based on response data"</w:t>
      </w:r>
    </w:p>
    <w:p>
      <w:pPr>
        <w:pStyle w:val="Compact"/>
        <w:numPr>
          <w:ilvl w:val="0"/>
          <w:numId w:val="1001"/>
        </w:numPr>
      </w:pPr>
      <w:r>
        <w:t xml:space="preserve">"New ICP tier launch"</w:t>
      </w:r>
    </w:p>
    <w:p>
      <w:pPr>
        <w:pStyle w:val="Compact"/>
        <w:numPr>
          <w:ilvl w:val="0"/>
          <w:numId w:val="1001"/>
        </w:numPr>
      </w:pPr>
      <w:r>
        <w:t xml:space="preserve">"Content asset performance review"</w:t>
      </w:r>
    </w:p>
    <w:p>
      <w:pPr>
        <w:pStyle w:val="Compact"/>
        <w:numPr>
          <w:ilvl w:val="0"/>
          <w:numId w:val="1001"/>
        </w:numPr>
      </w:pPr>
      <w:r>
        <w:t xml:space="preserve">"ABM target-account expansion"</w:t>
      </w:r>
    </w:p>
    <w:p>
      <w:pPr>
        <w:pStyle w:val="Compact"/>
        <w:numPr>
          <w:ilvl w:val="0"/>
          <w:numId w:val="1001"/>
        </w:numPr>
      </w:pPr>
      <w:r>
        <w:t xml:space="preserve">"MQL quality investigation"</w:t>
      </w:r>
    </w:p>
    <w:bookmarkEnd w:id="9"/>
    <w:bookmarkStart w:id="10" w:name="blocker-questions"/>
    <w:p>
      <w:pPr>
        <w:pStyle w:val="Heading2"/>
      </w:pPr>
      <w:r>
        <w:t xml:space="preserve">Blocker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SDR team change in last 30 days?</w:t>
      </w:r>
      <w:r>
        <w:t xml:space="preserve"> </w:t>
      </w:r>
      <w:r>
        <w:t xml:space="preserve">Ramp time affects comparison.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MQL → SQL acceptance gap with revenue team?</w:t>
      </w:r>
      <w:r>
        <w:t xml:space="preserve"> </w:t>
      </w:r>
      <w:r>
        <w:t xml:space="preserve">Misalignment kills programs.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platform / data issue</w:t>
      </w:r>
      <w:r>
        <w:t xml:space="preserve"> </w:t>
      </w:r>
      <w:r>
        <w:t xml:space="preserve">in CRM, MAP, sales engagement? Attribution breakage.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major content asset freshness issue?</w:t>
      </w:r>
      <w:r>
        <w:t xml:space="preserve"> </w:t>
      </w:r>
      <w:r>
        <w:t xml:space="preserve">Stale content converts poorly.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market signal</w:t>
      </w:r>
      <w:r>
        <w:t xml:space="preserve"> </w:t>
      </w:r>
      <w:r>
        <w:t xml:space="preserve">(industry event, competitor move, regulatory change) affecting pipeline trend?</w:t>
      </w:r>
    </w:p>
    <w:bookmarkEnd w:id="10"/>
    <w:bookmarkStart w:id="16" w:name="ranked-work-patterns"/>
    <w:p>
      <w:pPr>
        <w:pStyle w:val="Heading2"/>
      </w:pPr>
      <w:r>
        <w:t xml:space="preserve">Ranked work patterns</w:t>
      </w:r>
    </w:p>
    <w:bookmarkStart w:id="11" w:name="if-pipeline-coverage-dropping"/>
    <w:p>
      <w:pPr>
        <w:pStyle w:val="Heading3"/>
      </w:pPr>
      <w:r>
        <w:t xml:space="preserve">If pipeline coverage dropping</w:t>
      </w:r>
    </w:p>
    <w:p>
      <w:pPr>
        <w:pStyle w:val="FirstParagraph"/>
      </w:pPr>
      <w:r>
        <w:t xml:space="preserve">Diagnostic:</w:t>
      </w:r>
    </w:p>
    <w:p>
      <w:pPr>
        <w:pStyle w:val="Compact"/>
        <w:numPr>
          <w:ilvl w:val="0"/>
          <w:numId w:val="1003"/>
        </w:numPr>
      </w:pPr>
      <w:r>
        <w:t xml:space="preserve">MQL volume — is it volume issue or conversion issue?</w:t>
      </w:r>
    </w:p>
    <w:p>
      <w:pPr>
        <w:pStyle w:val="Compact"/>
        <w:numPr>
          <w:ilvl w:val="0"/>
          <w:numId w:val="1003"/>
        </w:numPr>
      </w:pPr>
      <w:r>
        <w:t xml:space="preserve">MQL quality — has ICP match rate dropped?</w:t>
      </w:r>
    </w:p>
    <w:p>
      <w:pPr>
        <w:pStyle w:val="Compact"/>
        <w:numPr>
          <w:ilvl w:val="0"/>
          <w:numId w:val="1003"/>
        </w:numPr>
      </w:pPr>
      <w:r>
        <w:t xml:space="preserve">SDR activity — cadences completing? Meetings booked?</w:t>
      </w:r>
    </w:p>
    <w:p>
      <w:pPr>
        <w:pStyle w:val="Compact"/>
        <w:numPr>
          <w:ilvl w:val="0"/>
          <w:numId w:val="1003"/>
        </w:numPr>
      </w:pPr>
      <w:r>
        <w:t xml:space="preserve">Handoff SLA — are MQLs aging in queue?</w:t>
      </w:r>
    </w:p>
    <w:p>
      <w:pPr>
        <w:pStyle w:val="Compact"/>
        <w:numPr>
          <w:ilvl w:val="0"/>
          <w:numId w:val="1003"/>
        </w:numPr>
      </w:pPr>
      <w:r>
        <w:t xml:space="preserve">Win rate — is it win-rate collapse masking volume?</w:t>
      </w:r>
    </w:p>
    <w:p>
      <w:pPr>
        <w:pStyle w:val="FirstParagraph"/>
      </w:pPr>
      <w:r>
        <w:t xml:space="preserve">Fix at root cause; don't layer volume on broken precision.</w:t>
      </w:r>
    </w:p>
    <w:bookmarkEnd w:id="11"/>
    <w:bookmarkStart w:id="12" w:name="Xf567c5c4e94b27c4b0324378e4dbc7027b0c63a"/>
    <w:p>
      <w:pPr>
        <w:pStyle w:val="Heading3"/>
      </w:pPr>
      <w:r>
        <w:t xml:space="preserve">If win rate is low but MQL volume is high</w:t>
      </w:r>
    </w:p>
    <w:p>
      <w:pPr>
        <w:pStyle w:val="FirstParagraph"/>
      </w:pPr>
      <w:r>
        <w:t xml:space="preserve">ICP precision problem. Tighten targeting. Run win-analysis on recent closes vs. loss analysis on recent losses.</w:t>
      </w:r>
    </w:p>
    <w:bookmarkEnd w:id="12"/>
    <w:bookmarkStart w:id="13" w:name="Xff6e34c566e2e0e97460b360df16b890e63b7b8"/>
    <w:p>
      <w:pPr>
        <w:pStyle w:val="Heading3"/>
      </w:pPr>
      <w:r>
        <w:t xml:space="preserve">If MQL volume is low but win rate is high</w:t>
      </w:r>
    </w:p>
    <w:p>
      <w:pPr>
        <w:pStyle w:val="FirstParagraph"/>
      </w:pPr>
      <w:r>
        <w:t xml:space="preserve">Scale what's working. But first: measure if it's repeatable or coincidence. A 40% win rate on 5 MQLs is not a signal.</w:t>
      </w:r>
    </w:p>
    <w:bookmarkEnd w:id="13"/>
    <w:bookmarkStart w:id="14" w:name="if-abm-accounts-stalling"/>
    <w:p>
      <w:pPr>
        <w:pStyle w:val="Heading3"/>
      </w:pPr>
      <w:r>
        <w:t xml:space="preserve">If ABM accounts stalling</w:t>
      </w:r>
    </w:p>
    <w:p>
      <w:pPr>
        <w:pStyle w:val="FirstParagraph"/>
      </w:pPr>
      <w:r>
        <w:t xml:space="preserve">Account-by-account review:</w:t>
      </w:r>
    </w:p>
    <w:p>
      <w:pPr>
        <w:pStyle w:val="Compact"/>
        <w:numPr>
          <w:ilvl w:val="0"/>
          <w:numId w:val="1004"/>
        </w:numPr>
      </w:pPr>
      <w:r>
        <w:t xml:space="preserve">Stakeholder coverage — are we reaching decision-makers?</w:t>
      </w:r>
    </w:p>
    <w:p>
      <w:pPr>
        <w:pStyle w:val="Compact"/>
        <w:numPr>
          <w:ilvl w:val="0"/>
          <w:numId w:val="1004"/>
        </w:numPr>
      </w:pPr>
      <w:r>
        <w:t xml:space="preserve">Message fit — is offer calibrated to account size + situation?</w:t>
      </w:r>
    </w:p>
    <w:p>
      <w:pPr>
        <w:pStyle w:val="Compact"/>
        <w:numPr>
          <w:ilvl w:val="0"/>
          <w:numId w:val="1004"/>
        </w:numPr>
      </w:pPr>
      <w:r>
        <w:t xml:space="preserve">Competitive dynamics — is incumbent defending?</w:t>
      </w:r>
    </w:p>
    <w:p>
      <w:pPr>
        <w:pStyle w:val="Compact"/>
        <w:numPr>
          <w:ilvl w:val="0"/>
          <w:numId w:val="1004"/>
        </w:numPr>
      </w:pPr>
      <w:r>
        <w:t xml:space="preserve">Budget cycle — are we hitting their calendar?</w:t>
      </w:r>
    </w:p>
    <w:bookmarkEnd w:id="14"/>
    <w:bookmarkStart w:id="15" w:name="sdr-cadence-iteration-cycle"/>
    <w:p>
      <w:pPr>
        <w:pStyle w:val="Heading3"/>
      </w:pPr>
      <w:r>
        <w:t xml:space="preserve">SDR cadence iteration cycle</w:t>
      </w:r>
    </w:p>
    <w:p>
      <w:pPr>
        <w:pStyle w:val="FirstParagraph"/>
      </w:pPr>
      <w:r>
        <w:t xml:space="preserve">Monthly:</w:t>
      </w:r>
    </w:p>
    <w:p>
      <w:pPr>
        <w:pStyle w:val="Compact"/>
        <w:numPr>
          <w:ilvl w:val="0"/>
          <w:numId w:val="1005"/>
        </w:numPr>
      </w:pPr>
      <w:r>
        <w:t xml:space="preserve">Reply rate by step</w:t>
      </w:r>
    </w:p>
    <w:p>
      <w:pPr>
        <w:pStyle w:val="Compact"/>
        <w:numPr>
          <w:ilvl w:val="0"/>
          <w:numId w:val="1005"/>
        </w:numPr>
      </w:pPr>
      <w:r>
        <w:t xml:space="preserve">Meeting-set rate by step</w:t>
      </w:r>
    </w:p>
    <w:p>
      <w:pPr>
        <w:pStyle w:val="Compact"/>
        <w:numPr>
          <w:ilvl w:val="0"/>
          <w:numId w:val="1005"/>
        </w:numPr>
      </w:pPr>
      <w:r>
        <w:t xml:space="preserve">Drop-off point (where do prospects stop responding?)</w:t>
      </w:r>
    </w:p>
    <w:p>
      <w:pPr>
        <w:pStyle w:val="Compact"/>
        <w:numPr>
          <w:ilvl w:val="0"/>
          <w:numId w:val="1005"/>
        </w:numPr>
      </w:pPr>
      <w:r>
        <w:t xml:space="preserve">Step-level A/B testing results</w:t>
      </w:r>
    </w:p>
    <w:p>
      <w:pPr>
        <w:pStyle w:val="Compact"/>
        <w:numPr>
          <w:ilvl w:val="0"/>
          <w:numId w:val="1005"/>
        </w:numPr>
      </w:pPr>
      <w:r>
        <w:t xml:space="preserve">Kill worst-performing step; replace with experiment</w:t>
      </w:r>
    </w:p>
    <w:bookmarkEnd w:id="15"/>
    <w:bookmarkEnd w:id="16"/>
    <w:bookmarkStart w:id="17" w:name="working-protocol-additions"/>
    <w:p>
      <w:pPr>
        <w:pStyle w:val="Heading2"/>
      </w:pPr>
      <w:r>
        <w:t xml:space="preserve">Working protocol additions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scale volume when precision is broken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accept MQL handoff gaps &gt;24h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kill a channel based on &lt;8 weeks of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score leads on behavior alone</w:t>
      </w:r>
      <w:r>
        <w:t xml:space="preserve"> </w:t>
      </w:r>
      <w:r>
        <w:t xml:space="preserve">— fit matters as much as intent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document ICP refinement</w:t>
      </w:r>
      <w:r>
        <w:t xml:space="preserve"> </w:t>
      </w:r>
      <w:r>
        <w:t xml:space="preserve">— it's a living doc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Always close the feedback loop</w:t>
      </w:r>
      <w:r>
        <w:t xml:space="preserve"> </w:t>
      </w:r>
      <w:r>
        <w:t xml:space="preserve">with sales on MQL quality</w:t>
      </w:r>
    </w:p>
    <w:bookmarkEnd w:id="17"/>
    <w:bookmarkStart w:id="18" w:name="verification-commands"/>
    <w:p>
      <w:pPr>
        <w:pStyle w:val="Heading2"/>
      </w:pPr>
      <w:r>
        <w:t xml:space="preserve">Verification commands</w:t>
      </w:r>
    </w:p>
    <w:p>
      <w:pPr>
        <w:pStyle w:val="SourceCode"/>
      </w:pPr>
      <w:r>
        <w:rPr>
          <w:rStyle w:val="VerbatimChar"/>
        </w:rPr>
        <w:t xml:space="preserve"># Pipeline coverage</w:t>
      </w:r>
      <w:r>
        <w:br/>
      </w:r>
      <w:r>
        <w:rPr>
          <w:rStyle w:val="VerbatimChar"/>
        </w:rPr>
        <w:t xml:space="preserve">{pipeline value / quarterly target}      # expect: 3-5x</w:t>
      </w:r>
      <w:r>
        <w:br/>
      </w:r>
      <w:r>
        <w:br/>
      </w:r>
      <w:r>
        <w:rPr>
          <w:rStyle w:val="VerbatimChar"/>
        </w:rPr>
        <w:t xml:space="preserve"># MQL → SQL conversion</w:t>
      </w:r>
      <w:r>
        <w:br/>
      </w:r>
      <w:r>
        <w:rPr>
          <w:rStyle w:val="VerbatimChar"/>
        </w:rPr>
        <w:t xml:space="preserve">{weekly conversion by channel}            # expect: stable; alert if &lt;10% or &gt;50%</w:t>
      </w:r>
      <w:r>
        <w:br/>
      </w:r>
      <w:r>
        <w:br/>
      </w:r>
      <w:r>
        <w:rPr>
          <w:rStyle w:val="VerbatimChar"/>
        </w:rPr>
        <w:t xml:space="preserve"># SDR activity</w:t>
      </w:r>
      <w:r>
        <w:br/>
      </w:r>
      <w:r>
        <w:rPr>
          <w:rStyle w:val="VerbatimChar"/>
        </w:rPr>
        <w:t xml:space="preserve">{cadence completion rate, meetings set}   # expect: 80%+ cadence complete</w:t>
      </w:r>
      <w:r>
        <w:br/>
      </w:r>
      <w:r>
        <w:br/>
      </w:r>
      <w:r>
        <w:rPr>
          <w:rStyle w:val="VerbatimChar"/>
        </w:rPr>
        <w:t xml:space="preserve"># Content performance</w:t>
      </w:r>
      <w:r>
        <w:br/>
      </w:r>
      <w:r>
        <w:rPr>
          <w:rStyle w:val="VerbatimChar"/>
        </w:rPr>
        <w:t xml:space="preserve">{MQL rate by asset}                       # expect: top-5 producing, bottom-10 killed</w:t>
      </w:r>
      <w:r>
        <w:br/>
      </w:r>
      <w:r>
        <w:br/>
      </w:r>
      <w:r>
        <w:rPr>
          <w:rStyle w:val="VerbatimChar"/>
        </w:rPr>
        <w:t xml:space="preserve"># Revenue team SLA</w:t>
      </w:r>
      <w:r>
        <w:br/>
      </w:r>
      <w:r>
        <w:rPr>
          <w:rStyle w:val="VerbatimChar"/>
        </w:rPr>
        <w:t xml:space="preserve">{MQL handoff acceptance time}             # expect: &lt;24h median</w:t>
      </w:r>
    </w:p>
    <w:bookmarkEnd w:id="18"/>
    <w:bookmarkStart w:id="19" w:name="common-drift-patterns"/>
    <w:p>
      <w:pPr>
        <w:pStyle w:val="Heading2"/>
      </w:pPr>
      <w:r>
        <w:t xml:space="preserve">Common drift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Volume-over-precision panic</w:t>
      </w:r>
      <w:r>
        <w:t xml:space="preserve"> </w:t>
      </w:r>
      <w:r>
        <w:t xml:space="preserve">— VP sees pipeline drop, scales SDR team; problem is ICP not volume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MQL definition creep</w:t>
      </w:r>
      <w:r>
        <w:t xml:space="preserve"> </w:t>
      </w:r>
      <w:r>
        <w:t xml:space="preserve">— marketing loosens definition to hit MQL number; sales rejects them all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Cadence decay</w:t>
      </w:r>
      <w:r>
        <w:t xml:space="preserve"> </w:t>
      </w:r>
      <w:r>
        <w:t xml:space="preserve">— SDRs skip middle steps of cadence; "break-up email" especially gets skipped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Intent-data theater</w:t>
      </w:r>
      <w:r>
        <w:t xml:space="preserve"> </w:t>
      </w:r>
      <w:r>
        <w:t xml:space="preserve">— paying for intent data but not acting on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 graveyard</w:t>
      </w:r>
      <w:r>
        <w:t xml:space="preserve"> </w:t>
      </w:r>
      <w:r>
        <w:t xml:space="preserve">— 50 assets live, 5 producing MQLs; no sunset discipline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2026-04-15T22:46:40Z</dcterms:created>
  <dcterms:modified xsi:type="dcterms:W3CDTF">2026-04-15T22:46:40Z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