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37fbbcff3cd3d843eca7d20ee2d430921f2bcf"/>
    <w:p>
      <w:pPr>
        <w:pStyle w:val="Heading1"/>
      </w:pPr>
      <w:r>
        <w:t xml:space="preserve">Brand Positioning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brand landscape</w:t>
      </w:r>
      <w:r>
        <w:t xml:space="preserve"> </w:t>
      </w:r>
      <w:r>
        <w:t xml:space="preserve">— positioning map of category players; axes + occupied space + white-space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interview synthesis</w:t>
      </w:r>
      <w:r>
        <w:t xml:space="preserve"> </w:t>
      </w:r>
      <w:r>
        <w:t xml:space="preserve">— post-interview pattern extraction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entry-point research</w:t>
      </w:r>
      <w:r>
        <w:t xml:space="preserve"> </w:t>
      </w:r>
      <w:r>
        <w:t xml:space="preserve">— what memory / situation / occasion triggers category need?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Brand-health benchmarking</w:t>
      </w:r>
      <w:r>
        <w:t xml:space="preserve"> </w:t>
      </w:r>
      <w:r>
        <w:t xml:space="preserve">— awareness, consideration, NPS at competitors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 / mark clearance research</w:t>
      </w:r>
      <w:r>
        <w:t xml:space="preserve"> </w:t>
      </w:r>
      <w:r>
        <w:t xml:space="preserve">— trademark availability + linguistic / cultural screening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rebrand case studies</w:t>
      </w:r>
      <w:r>
        <w:t xml:space="preserve"> </w:t>
      </w:r>
      <w:r>
        <w:t xml:space="preserve">— successful rebrands + failures + lessons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Ehrenberg-Bass research</w:t>
      </w:r>
      <w:r>
        <w:t xml:space="preserve"> </w:t>
      </w:r>
      <w:r>
        <w:t xml:space="preserve">— How Brands Grow (Byron Sharp); category-entry-points methodology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Binet + Peter Field</w:t>
      </w:r>
      <w:r>
        <w:t xml:space="preserve"> </w:t>
      </w:r>
      <w:r>
        <w:t xml:space="preserve">— "The Long and the Short of It" for brand-vs-performance frameworks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YouGov BrandIndex / Morning Consult Brand Intelligence</w:t>
      </w:r>
      <w:r>
        <w:t xml:space="preserve"> </w:t>
      </w:r>
      <w:r>
        <w:t xml:space="preserve">— brand-tracker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Interbrand Best Global Brands</w:t>
      </w:r>
      <w:r>
        <w:t xml:space="preserve"> </w:t>
      </w:r>
      <w:r>
        <w:t xml:space="preserve">— annual brand valuation methodology + case studies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Industry-specific brand research</w:t>
      </w:r>
      <w:r>
        <w:t xml:space="preserve"> </w:t>
      </w:r>
      <w:r>
        <w:t xml:space="preserve">— Beauty Matter (beauty), BoF (fashion), Adweek (consumer)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rebrand case studies</w:t>
      </w:r>
      <w:r>
        <w:t xml:space="preserve"> </w:t>
      </w:r>
      <w:r>
        <w:t xml:space="preserve">— JCPenney's failed rebrand, Tropicana's failed rebrand, Mastercard's successful refresh, Airbnb's "Bélo" — documented in industry press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Design-agency "philosophy" content (marketing)</w:t>
      </w:r>
    </w:p>
    <w:p>
      <w:pPr>
        <w:pStyle w:val="Compact"/>
        <w:numPr>
          <w:ilvl w:val="0"/>
          <w:numId w:val="1003"/>
        </w:numPr>
      </w:pPr>
      <w:r>
        <w:t xml:space="preserve">Generic brand-strategy consulting frameworks</w:t>
      </w:r>
    </w:p>
    <w:p>
      <w:pPr>
        <w:pStyle w:val="Compact"/>
        <w:numPr>
          <w:ilvl w:val="0"/>
          <w:numId w:val="1003"/>
        </w:numPr>
      </w:pPr>
      <w:r>
        <w:t xml:space="preserve">"Top 10 rebrand fails" listicles (often miss the why)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competitive-brand-landscape"/>
    <w:p>
      <w:pPr>
        <w:pStyle w:val="Heading3"/>
      </w:pPr>
      <w:r>
        <w:t xml:space="preserve">For competitive brand landscape:</w:t>
      </w:r>
    </w:p>
    <w:p>
      <w:pPr>
        <w:pStyle w:val="Compact"/>
        <w:numPr>
          <w:ilvl w:val="0"/>
          <w:numId w:val="1004"/>
        </w:numPr>
      </w:pPr>
      <w:r>
        <w:t xml:space="preserve">Top-15 brands in category</w:t>
      </w:r>
    </w:p>
    <w:p>
      <w:pPr>
        <w:pStyle w:val="Compact"/>
        <w:numPr>
          <w:ilvl w:val="0"/>
          <w:numId w:val="1004"/>
        </w:numPr>
      </w:pPr>
      <w:r>
        <w:t xml:space="preserve">Positioning statements (extracted from copy, not from "About Us" claims)</w:t>
      </w:r>
    </w:p>
    <w:p>
      <w:pPr>
        <w:pStyle w:val="Compact"/>
        <w:numPr>
          <w:ilvl w:val="0"/>
          <w:numId w:val="1004"/>
        </w:numPr>
      </w:pPr>
      <w:r>
        <w:t xml:space="preserve">Visual identity axes — color spectrum, type style, photo mood</w:t>
      </w:r>
    </w:p>
    <w:p>
      <w:pPr>
        <w:pStyle w:val="Compact"/>
        <w:numPr>
          <w:ilvl w:val="0"/>
          <w:numId w:val="1004"/>
        </w:numPr>
      </w:pPr>
      <w:r>
        <w:t xml:space="preserve">Voice spectrum — formal/casual, serious/playful, authoritative/collaborative</w:t>
      </w:r>
    </w:p>
    <w:p>
      <w:pPr>
        <w:pStyle w:val="Compact"/>
        <w:numPr>
          <w:ilvl w:val="0"/>
          <w:numId w:val="1004"/>
        </w:numPr>
      </w:pPr>
      <w:r>
        <w:t xml:space="preserve">Category entry points each brand tries to own</w:t>
      </w:r>
    </w:p>
    <w:p>
      <w:pPr>
        <w:pStyle w:val="Compact"/>
        <w:numPr>
          <w:ilvl w:val="0"/>
          <w:numId w:val="1004"/>
        </w:numPr>
      </w:pPr>
      <w:r>
        <w:t xml:space="preserve">Price-positioning map</w:t>
      </w:r>
    </w:p>
    <w:p>
      <w:pPr>
        <w:pStyle w:val="Compact"/>
        <w:numPr>
          <w:ilvl w:val="0"/>
          <w:numId w:val="1004"/>
        </w:numPr>
      </w:pPr>
      <w:r>
        <w:t xml:space="preserve">Brand-architecture patterns (master vs. portfolio)</w:t>
      </w:r>
    </w:p>
    <w:p>
      <w:pPr>
        <w:pStyle w:val="Compact"/>
        <w:numPr>
          <w:ilvl w:val="0"/>
          <w:numId w:val="1004"/>
        </w:numPr>
      </w:pPr>
      <w:r>
        <w:t xml:space="preserve">Recent rebrands in category — who, when, why, how received</w:t>
      </w:r>
    </w:p>
    <w:bookmarkEnd w:id="11"/>
    <w:bookmarkStart w:id="12" w:name="for-category-entry-point-research"/>
    <w:p>
      <w:pPr>
        <w:pStyle w:val="Heading3"/>
      </w:pPr>
      <w:r>
        <w:t xml:space="preserve">For category entry-point research:</w:t>
      </w:r>
    </w:p>
    <w:p>
      <w:pPr>
        <w:pStyle w:val="Compact"/>
        <w:numPr>
          <w:ilvl w:val="0"/>
          <w:numId w:val="1005"/>
        </w:numPr>
      </w:pPr>
      <w:r>
        <w:t xml:space="preserve">What occasions, situations, or memories trigger category demand?</w:t>
      </w:r>
    </w:p>
    <w:p>
      <w:pPr>
        <w:pStyle w:val="Compact"/>
        <w:numPr>
          <w:ilvl w:val="0"/>
          <w:numId w:val="1005"/>
        </w:numPr>
      </w:pPr>
      <w:r>
        <w:t xml:space="preserve">What functional + emotional jobs does the category serve?</w:t>
      </w:r>
    </w:p>
    <w:p>
      <w:pPr>
        <w:pStyle w:val="Compact"/>
        <w:numPr>
          <w:ilvl w:val="0"/>
          <w:numId w:val="1005"/>
        </w:numPr>
      </w:pPr>
      <w:r>
        <w:t xml:space="preserve">Which brands already own which entry points?</w:t>
      </w:r>
    </w:p>
    <w:p>
      <w:pPr>
        <w:pStyle w:val="Compact"/>
        <w:numPr>
          <w:ilvl w:val="0"/>
          <w:numId w:val="1005"/>
        </w:numPr>
      </w:pPr>
      <w:r>
        <w:t xml:space="preserve">Under-owned entry points — where's the white-space?</w:t>
      </w:r>
    </w:p>
    <w:p>
      <w:pPr>
        <w:pStyle w:val="Compact"/>
        <w:numPr>
          <w:ilvl w:val="0"/>
          <w:numId w:val="1005"/>
        </w:numPr>
      </w:pPr>
      <w:r>
        <w:t xml:space="preserve">Cultural / generational shifts affecting entry-point relevance</w:t>
      </w:r>
    </w:p>
    <w:bookmarkEnd w:id="12"/>
    <w:bookmarkStart w:id="13" w:name="for-brand-health-benchmarking"/>
    <w:p>
      <w:pPr>
        <w:pStyle w:val="Heading3"/>
      </w:pPr>
      <w:r>
        <w:t xml:space="preserve">For brand-health benchmarking:</w:t>
      </w:r>
    </w:p>
    <w:p>
      <w:pPr>
        <w:pStyle w:val="Compact"/>
        <w:numPr>
          <w:ilvl w:val="0"/>
          <w:numId w:val="1006"/>
        </w:numPr>
      </w:pPr>
      <w:r>
        <w:t xml:space="preserve">Unaided awareness — top-of-mind recall</w:t>
      </w:r>
    </w:p>
    <w:p>
      <w:pPr>
        <w:pStyle w:val="Compact"/>
        <w:numPr>
          <w:ilvl w:val="0"/>
          <w:numId w:val="1006"/>
        </w:numPr>
      </w:pPr>
      <w:r>
        <w:t xml:space="preserve">Aided awareness — prompted recognition</w:t>
      </w:r>
    </w:p>
    <w:p>
      <w:pPr>
        <w:pStyle w:val="Compact"/>
        <w:numPr>
          <w:ilvl w:val="0"/>
          <w:numId w:val="1006"/>
        </w:numPr>
      </w:pPr>
      <w:r>
        <w:t xml:space="preserve">Consideration — "would buy next time"</w:t>
      </w:r>
    </w:p>
    <w:p>
      <w:pPr>
        <w:pStyle w:val="Compact"/>
        <w:numPr>
          <w:ilvl w:val="0"/>
          <w:numId w:val="1006"/>
        </w:numPr>
      </w:pPr>
      <w:r>
        <w:t xml:space="preserve">NPS / advocacy</w:t>
      </w:r>
    </w:p>
    <w:p>
      <w:pPr>
        <w:pStyle w:val="Compact"/>
        <w:numPr>
          <w:ilvl w:val="0"/>
          <w:numId w:val="1006"/>
        </w:numPr>
      </w:pPr>
      <w:r>
        <w:t xml:space="preserve">Category-leadership perception — "the best at X"</w:t>
      </w:r>
    </w:p>
    <w:p>
      <w:pPr>
        <w:pStyle w:val="Compact"/>
        <w:numPr>
          <w:ilvl w:val="0"/>
          <w:numId w:val="1006"/>
        </w:numPr>
      </w:pPr>
      <w:r>
        <w:t xml:space="preserve">Trust / credibility markers</w:t>
      </w:r>
    </w:p>
    <w:p>
      <w:pPr>
        <w:pStyle w:val="Compact"/>
        <w:numPr>
          <w:ilvl w:val="0"/>
          <w:numId w:val="1006"/>
        </w:numPr>
      </w:pPr>
      <w:r>
        <w:t xml:space="preserve">Trend direction — gaining / flat / losing equity</w:t>
      </w:r>
    </w:p>
    <w:bookmarkEnd w:id="13"/>
    <w:bookmarkStart w:id="14" w:name="for-rebrand-case-studies"/>
    <w:p>
      <w:pPr>
        <w:pStyle w:val="Heading3"/>
      </w:pPr>
      <w:r>
        <w:t xml:space="preserve">For rebrand case studies:</w:t>
      </w:r>
    </w:p>
    <w:p>
      <w:pPr>
        <w:pStyle w:val="Compact"/>
        <w:numPr>
          <w:ilvl w:val="0"/>
          <w:numId w:val="1007"/>
        </w:numPr>
      </w:pPr>
      <w:r>
        <w:t xml:space="preserve">Pre-rebrand state — what problem was it solving?</w:t>
      </w:r>
    </w:p>
    <w:p>
      <w:pPr>
        <w:pStyle w:val="Compact"/>
        <w:numPr>
          <w:ilvl w:val="0"/>
          <w:numId w:val="1007"/>
        </w:numPr>
      </w:pPr>
      <w:r>
        <w:t xml:space="preserve">Execution — scope, timing, rollout</w:t>
      </w:r>
    </w:p>
    <w:p>
      <w:pPr>
        <w:pStyle w:val="Compact"/>
        <w:numPr>
          <w:ilvl w:val="0"/>
          <w:numId w:val="1007"/>
        </w:numPr>
      </w:pPr>
      <w:r>
        <w:t xml:space="preserve">Short-term signal (first 90 days) — customer reaction, sales, PR</w:t>
      </w:r>
    </w:p>
    <w:p>
      <w:pPr>
        <w:pStyle w:val="Compact"/>
        <w:numPr>
          <w:ilvl w:val="0"/>
          <w:numId w:val="1007"/>
        </w:numPr>
      </w:pPr>
      <w:r>
        <w:t xml:space="preserve">Long-term outcome (2-5 years) — did equity rebuild or erode?</w:t>
      </w:r>
    </w:p>
    <w:p>
      <w:pPr>
        <w:pStyle w:val="Compact"/>
        <w:numPr>
          <w:ilvl w:val="0"/>
          <w:numId w:val="1007"/>
        </w:numPr>
      </w:pPr>
      <w:r>
        <w:t xml:space="preserve">Key decisions that worked / didn't</w:t>
      </w:r>
    </w:p>
    <w:p>
      <w:pPr>
        <w:pStyle w:val="Compact"/>
        <w:numPr>
          <w:ilvl w:val="0"/>
          <w:numId w:val="1007"/>
        </w:numPr>
      </w:pPr>
      <w:r>
        <w:t xml:space="preserve">Warnings for future rebranders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competitive-landscape methodology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retail-facing brand execution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competitive brand positioning in premium outdoor-gear category (</w:t>
      </w:r>
      <m:oMath>
        <m:r>
          <m:t>100</m:t>
        </m:r>
        <m:r>
          <m:rPr>
            <m:sty m:val="p"/>
          </m:rPr>
          <m:t>−</m:t>
        </m:r>
      </m:oMath>
      <w:r>
        <w:t xml:space="preserve">500 AOV) as of {{date}} — 15 brands mapped on technical-vs-lifestyle + premium-vs-accessible axes"</w:t>
      </w:r>
    </w:p>
    <w:p>
      <w:pPr>
        <w:pStyle w:val="Compact"/>
        <w:numPr>
          <w:ilvl w:val="0"/>
          <w:numId w:val="1009"/>
        </w:numPr>
      </w:pPr>
      <w:r>
        <w:t xml:space="preserve">"Research category entry points for snack-food DTC brands — what occasions, moments, and situations drive category demand; which brands own which?"</w:t>
      </w:r>
    </w:p>
    <w:p>
      <w:pPr>
        <w:pStyle w:val="Compact"/>
        <w:numPr>
          <w:ilvl w:val="0"/>
          <w:numId w:val="1009"/>
        </w:numPr>
      </w:pPr>
      <w:r>
        <w:t xml:space="preserve">"Research brand-health benchmarks for B2B SaaS in the growth-marketing-tools category — unaided awareness, consideration, NPS at Klaviyo, Triple Whale, Northbeam, etc."</w:t>
      </w:r>
    </w:p>
    <w:p>
      <w:pPr>
        <w:pStyle w:val="Compact"/>
        <w:numPr>
          <w:ilvl w:val="0"/>
          <w:numId w:val="1009"/>
        </w:numPr>
      </w:pPr>
      <w:r>
        <w:t xml:space="preserve">"Research top 5 successful vs. 5 failed DTC rebrands of last 5 years — what separated winners from losers"</w:t>
      </w:r>
    </w:p>
    <w:p>
      <w:pPr>
        <w:pStyle w:val="Compact"/>
        <w:numPr>
          <w:ilvl w:val="0"/>
          <w:numId w:val="1009"/>
        </w:numPr>
      </w:pPr>
      <w:r>
        <w:t xml:space="preserve">"Research brand architecture patterns in multi-brand house-of-brands portfolios — P&amp;G, Unilever, L'Oréal — when do they separate, when do they merge"</w:t>
      </w:r>
    </w:p>
    <w:p>
      <w:pPr>
        <w:pStyle w:val="Compact"/>
        <w:numPr>
          <w:ilvl w:val="0"/>
          <w:numId w:val="1009"/>
        </w:numPr>
      </w:pPr>
      <w:r>
        <w:t xml:space="preserve">"Research name + trademark clearance process for DTC brand entering US + EU + UK markets — costs, timelines, common pitfalls"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