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a70866b6018bd6107b8131948034d834647d50"/>
    <w:p>
      <w:pPr>
        <w:pStyle w:val="Heading1"/>
      </w:pPr>
      <w:r>
        <w:t xml:space="preserve">Community / Ambassador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evaluation</w:t>
      </w:r>
      <w:r>
        <w:t xml:space="preserve"> </w:t>
      </w:r>
      <w:r>
        <w:t xml:space="preserve">— Discord / Circle / Slack / Facebook / Mighty Networks / native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Ambassador-platform evaluation</w:t>
      </w:r>
      <w:r>
        <w:t xml:space="preserve"> </w:t>
      </w:r>
      <w:r>
        <w:t xml:space="preserve">— Grin / Aspire / Crewfire / Brand Ambassador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community teardown</w:t>
      </w:r>
      <w:r>
        <w:t xml:space="preserve"> </w:t>
      </w:r>
      <w:r>
        <w:t xml:space="preserve">— Notion community, Figma community, Peloton community,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health benchmarks</w:t>
      </w:r>
      <w:r>
        <w:t xml:space="preserve"> </w:t>
      </w:r>
      <w:r>
        <w:t xml:space="preserve">— posting rates, engagement, moderator ratios by size +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Ambassador economics research</w:t>
      </w:r>
      <w:r>
        <w:t xml:space="preserve"> </w:t>
      </w:r>
      <w:r>
        <w:t xml:space="preserve">— compensation benchmarks by tier, ROI measurement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Crisis moderation case studies</w:t>
      </w:r>
      <w:r>
        <w:t xml:space="preserve"> </w:t>
      </w:r>
      <w:r>
        <w:t xml:space="preserve">— how brands have handled community controversies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CMX Hub</w:t>
      </w:r>
      <w:r>
        <w:t xml:space="preserve"> </w:t>
      </w:r>
      <w:r>
        <w:t xml:space="preserve">— community-manager research +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Orbit / Common Room</w:t>
      </w:r>
      <w:r>
        <w:t xml:space="preserve"> </w:t>
      </w:r>
      <w:r>
        <w:t xml:space="preserve">— community-software-published research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voice on LinkedIn + Twitter</w:t>
      </w:r>
      <w:r>
        <w:t xml:space="preserve"> </w:t>
      </w:r>
      <w:r>
        <w:t xml:space="preserve">— named community managers sharing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Platform-published case studies</w:t>
      </w:r>
      <w:r>
        <w:t xml:space="preserve"> </w:t>
      </w:r>
      <w:r>
        <w:t xml:space="preserve">— Discord, Circle, Slack case studies of branded communities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Business Review on communities</w:t>
      </w:r>
      <w:r>
        <w:t xml:space="preserve"> </w:t>
      </w:r>
      <w:r>
        <w:t xml:space="preserve">— long-format community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research on online community dynamics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Community-platform sales decks</w:t>
      </w:r>
    </w:p>
    <w:p>
      <w:pPr>
        <w:pStyle w:val="Compact"/>
        <w:numPr>
          <w:ilvl w:val="0"/>
          <w:numId w:val="1003"/>
        </w:numPr>
      </w:pPr>
      <w:r>
        <w:t xml:space="preserve">Generic "engage your audience" listicles</w:t>
      </w:r>
    </w:p>
    <w:p>
      <w:pPr>
        <w:pStyle w:val="Compact"/>
        <w:numPr>
          <w:ilvl w:val="0"/>
          <w:numId w:val="1003"/>
        </w:numPr>
      </w:pPr>
      <w:r>
        <w:t xml:space="preserve">AI-generated community advice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platform-evaluation"/>
    <w:p>
      <w:pPr>
        <w:pStyle w:val="Heading3"/>
      </w:pPr>
      <w:r>
        <w:t xml:space="preserve">For platform evaluation:</w:t>
      </w:r>
    </w:p>
    <w:p>
      <w:pPr>
        <w:pStyle w:val="Compact"/>
        <w:numPr>
          <w:ilvl w:val="0"/>
          <w:numId w:val="1004"/>
        </w:numPr>
      </w:pPr>
      <w:r>
        <w:t xml:space="preserve">Target audience comfort with platform</w:t>
      </w:r>
    </w:p>
    <w:p>
      <w:pPr>
        <w:pStyle w:val="Compact"/>
        <w:numPr>
          <w:ilvl w:val="0"/>
          <w:numId w:val="1004"/>
        </w:numPr>
      </w:pPr>
      <w:r>
        <w:t xml:space="preserve">Moderation tools + admin capabilities</w:t>
      </w:r>
    </w:p>
    <w:p>
      <w:pPr>
        <w:pStyle w:val="Compact"/>
        <w:numPr>
          <w:ilvl w:val="0"/>
          <w:numId w:val="1004"/>
        </w:numPr>
      </w:pPr>
      <w:r>
        <w:t xml:space="preserve">Integration with commerce / CRM / marketing stack</w:t>
      </w:r>
    </w:p>
    <w:p>
      <w:pPr>
        <w:pStyle w:val="Compact"/>
        <w:numPr>
          <w:ilvl w:val="0"/>
          <w:numId w:val="1004"/>
        </w:numPr>
      </w:pPr>
      <w:r>
        <w:t xml:space="preserve">Content discoverability (search, threading, tagging)</w:t>
      </w:r>
    </w:p>
    <w:p>
      <w:pPr>
        <w:pStyle w:val="Compact"/>
        <w:numPr>
          <w:ilvl w:val="0"/>
          <w:numId w:val="1004"/>
        </w:numPr>
      </w:pPr>
      <w:r>
        <w:t xml:space="preserve">Member profile + recognition systems</w:t>
      </w:r>
    </w:p>
    <w:p>
      <w:pPr>
        <w:pStyle w:val="Compact"/>
        <w:numPr>
          <w:ilvl w:val="0"/>
          <w:numId w:val="1004"/>
        </w:numPr>
      </w:pPr>
      <w:r>
        <w:t xml:space="preserve">Monetization (if gated community)</w:t>
      </w:r>
    </w:p>
    <w:p>
      <w:pPr>
        <w:pStyle w:val="Compact"/>
        <w:numPr>
          <w:ilvl w:val="0"/>
          <w:numId w:val="1004"/>
        </w:numPr>
      </w:pPr>
      <w:r>
        <w:t xml:space="preserve">Data access — can you export member data?</w:t>
      </w:r>
    </w:p>
    <w:p>
      <w:pPr>
        <w:pStyle w:val="Compact"/>
        <w:numPr>
          <w:ilvl w:val="0"/>
          <w:numId w:val="1004"/>
        </w:numPr>
      </w:pPr>
      <w:r>
        <w:t xml:space="preserve">Pricing model</w:t>
      </w:r>
    </w:p>
    <w:p>
      <w:pPr>
        <w:pStyle w:val="Compact"/>
        <w:numPr>
          <w:ilvl w:val="0"/>
          <w:numId w:val="1004"/>
        </w:numPr>
      </w:pPr>
      <w:r>
        <w:t xml:space="preserve">Community scale ceiling</w:t>
      </w:r>
    </w:p>
    <w:bookmarkEnd w:id="11"/>
    <w:bookmarkStart w:id="12" w:name="for-competitor-community-teardown"/>
    <w:p>
      <w:pPr>
        <w:pStyle w:val="Heading3"/>
      </w:pPr>
      <w:r>
        <w:t xml:space="preserve">For competitor community teardown:</w:t>
      </w:r>
    </w:p>
    <w:p>
      <w:pPr>
        <w:pStyle w:val="Compact"/>
        <w:numPr>
          <w:ilvl w:val="0"/>
          <w:numId w:val="1005"/>
        </w:numPr>
      </w:pPr>
      <w:r>
        <w:t xml:space="preserve">Platform choice + rationale</w:t>
      </w:r>
    </w:p>
    <w:p>
      <w:pPr>
        <w:pStyle w:val="Compact"/>
        <w:numPr>
          <w:ilvl w:val="0"/>
          <w:numId w:val="1005"/>
        </w:numPr>
      </w:pPr>
      <w:r>
        <w:t xml:space="preserve">Channel / thread structure</w:t>
      </w:r>
    </w:p>
    <w:p>
      <w:pPr>
        <w:pStyle w:val="Compact"/>
        <w:numPr>
          <w:ilvl w:val="0"/>
          <w:numId w:val="1005"/>
        </w:numPr>
      </w:pPr>
      <w:r>
        <w:t xml:space="preserve">Moderator presence + style</w:t>
      </w:r>
    </w:p>
    <w:p>
      <w:pPr>
        <w:pStyle w:val="Compact"/>
        <w:numPr>
          <w:ilvl w:val="0"/>
          <w:numId w:val="1005"/>
        </w:numPr>
      </w:pPr>
      <w:r>
        <w:t xml:space="preserve">Content cadence (brand vs. member)</w:t>
      </w:r>
    </w:p>
    <w:p>
      <w:pPr>
        <w:pStyle w:val="Compact"/>
        <w:numPr>
          <w:ilvl w:val="0"/>
          <w:numId w:val="1005"/>
        </w:numPr>
      </w:pPr>
      <w:r>
        <w:t xml:space="preserve">Event cadence</w:t>
      </w:r>
    </w:p>
    <w:p>
      <w:pPr>
        <w:pStyle w:val="Compact"/>
        <w:numPr>
          <w:ilvl w:val="0"/>
          <w:numId w:val="1005"/>
        </w:numPr>
      </w:pPr>
      <w:r>
        <w:t xml:space="preserve">Ambassador program structure (if visible)</w:t>
      </w:r>
    </w:p>
    <w:p>
      <w:pPr>
        <w:pStyle w:val="Compact"/>
        <w:numPr>
          <w:ilvl w:val="0"/>
          <w:numId w:val="1005"/>
        </w:numPr>
      </w:pPr>
      <w:r>
        <w:t xml:space="preserve">Member engagement tier distribution</w:t>
      </w:r>
    </w:p>
    <w:p>
      <w:pPr>
        <w:pStyle w:val="Compact"/>
        <w:numPr>
          <w:ilvl w:val="0"/>
          <w:numId w:val="1005"/>
        </w:numPr>
      </w:pPr>
      <w:r>
        <w:t xml:space="preserve">Brand tone in community</w:t>
      </w:r>
    </w:p>
    <w:bookmarkEnd w:id="12"/>
    <w:bookmarkStart w:id="13" w:name="for-ambassador-economics"/>
    <w:p>
      <w:pPr>
        <w:pStyle w:val="Heading3"/>
      </w:pPr>
      <w:r>
        <w:t xml:space="preserve">For ambassador economics:</w:t>
      </w:r>
    </w:p>
    <w:p>
      <w:pPr>
        <w:pStyle w:val="Compact"/>
        <w:numPr>
          <w:ilvl w:val="0"/>
          <w:numId w:val="1006"/>
        </w:numPr>
      </w:pPr>
      <w:r>
        <w:t xml:space="preserve">Compensation benchmarks by tier</w:t>
      </w:r>
    </w:p>
    <w:p>
      <w:pPr>
        <w:pStyle w:val="Compact"/>
        <w:numPr>
          <w:ilvl w:val="0"/>
          <w:numId w:val="1006"/>
        </w:numPr>
      </w:pPr>
      <w:r>
        <w:t xml:space="preserve">Typical output (content, referrals, events) per tier</w:t>
      </w:r>
    </w:p>
    <w:p>
      <w:pPr>
        <w:pStyle w:val="Compact"/>
        <w:numPr>
          <w:ilvl w:val="0"/>
          <w:numId w:val="1006"/>
        </w:numPr>
      </w:pPr>
      <w:r>
        <w:t xml:space="preserve">ROI measurement at peer brands</w:t>
      </w:r>
    </w:p>
    <w:p>
      <w:pPr>
        <w:pStyle w:val="Compact"/>
        <w:numPr>
          <w:ilvl w:val="0"/>
          <w:numId w:val="1006"/>
        </w:numPr>
      </w:pPr>
      <w:r>
        <w:t xml:space="preserve">Tier-mobility pathways</w:t>
      </w:r>
    </w:p>
    <w:p>
      <w:pPr>
        <w:pStyle w:val="Compact"/>
        <w:numPr>
          <w:ilvl w:val="0"/>
          <w:numId w:val="1006"/>
        </w:numPr>
      </w:pPr>
      <w:r>
        <w:t xml:space="preserve">Contract structures (exclusivity, commitment, IP)</w:t>
      </w:r>
    </w:p>
    <w:p>
      <w:pPr>
        <w:pStyle w:val="Compact"/>
        <w:numPr>
          <w:ilvl w:val="0"/>
          <w:numId w:val="1006"/>
        </w:numPr>
      </w:pPr>
      <w:r>
        <w:t xml:space="preserve">Measurement challenges + solutions</w:t>
      </w:r>
    </w:p>
    <w:bookmarkEnd w:id="13"/>
    <w:bookmarkStart w:id="14" w:name="for-health-benchmarks"/>
    <w:p>
      <w:pPr>
        <w:pStyle w:val="Heading3"/>
      </w:pPr>
      <w:r>
        <w:t xml:space="preserve">For health benchmarks:</w:t>
      </w:r>
    </w:p>
    <w:p>
      <w:pPr>
        <w:pStyle w:val="Compact"/>
        <w:numPr>
          <w:ilvl w:val="0"/>
          <w:numId w:val="1007"/>
        </w:numPr>
      </w:pPr>
      <w:r>
        <w:t xml:space="preserve">Posting rate (% of members posting per month) by community size</w:t>
      </w:r>
    </w:p>
    <w:p>
      <w:pPr>
        <w:pStyle w:val="Compact"/>
        <w:numPr>
          <w:ilvl w:val="0"/>
          <w:numId w:val="1007"/>
        </w:numPr>
      </w:pPr>
      <w:r>
        <w:t xml:space="preserve">Response rate to questions</w:t>
      </w:r>
    </w:p>
    <w:p>
      <w:pPr>
        <w:pStyle w:val="Compact"/>
        <w:numPr>
          <w:ilvl w:val="0"/>
          <w:numId w:val="1007"/>
        </w:numPr>
      </w:pPr>
      <w:r>
        <w:t xml:space="preserve">New-member activation rate</w:t>
      </w:r>
    </w:p>
    <w:p>
      <w:pPr>
        <w:pStyle w:val="Compact"/>
        <w:numPr>
          <w:ilvl w:val="0"/>
          <w:numId w:val="1007"/>
        </w:numPr>
      </w:pPr>
      <w:r>
        <w:t xml:space="preserve">Moderator:member ratio</w:t>
      </w:r>
    </w:p>
    <w:p>
      <w:pPr>
        <w:pStyle w:val="Compact"/>
        <w:numPr>
          <w:ilvl w:val="0"/>
          <w:numId w:val="1007"/>
        </w:numPr>
      </w:pPr>
      <w:r>
        <w:t xml:space="preserve">Churn / inactivity patterns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community content + engagement frameworks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ambassador / advocate programs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Discord vs. Circle vs. Slack vs. Mighty Networks for $20M DTC creator-tech brand launching community — platform fit, integration, cost, scale path"</w:t>
      </w:r>
    </w:p>
    <w:p>
      <w:pPr>
        <w:pStyle w:val="Compact"/>
        <w:numPr>
          <w:ilvl w:val="0"/>
          <w:numId w:val="1009"/>
        </w:numPr>
      </w:pPr>
      <w:r>
        <w:t xml:space="preserve">"Teardown of Notion's community strategy — platform, structure, ambassador program, content cadence, learnings for operator-focused B2B SaaS"</w:t>
      </w:r>
    </w:p>
    <w:p>
      <w:pPr>
        <w:pStyle w:val="Compact"/>
        <w:numPr>
          <w:ilvl w:val="0"/>
          <w:numId w:val="1009"/>
        </w:numPr>
      </w:pPr>
      <w:r>
        <w:t xml:space="preserve">"Research ambassador program economics at peer DTC brands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</m:oMath>
      <w:r>
        <w:t xml:space="preserve">100M revenue — tier compensation, ROI measurement, typical output per tier"</w:t>
      </w:r>
    </w:p>
    <w:p>
      <w:pPr>
        <w:pStyle w:val="Compact"/>
        <w:numPr>
          <w:ilvl w:val="0"/>
          <w:numId w:val="1009"/>
        </w:numPr>
      </w:pPr>
      <w:r>
        <w:t xml:space="preserve">"Research community-health benchmarks 2026 — posting rates, engagement, moderator ratios; 100-person vs. 1K vs. 10K vs. 100K communities"</w:t>
      </w:r>
    </w:p>
    <w:p>
      <w:pPr>
        <w:pStyle w:val="Compact"/>
        <w:numPr>
          <w:ilvl w:val="0"/>
          <w:numId w:val="1009"/>
        </w:numPr>
      </w:pPr>
      <w:r>
        <w:t xml:space="preserve">"Research crisis-moderation case studies — 10 branded communities that handled controversy well vs. poorly; patterns"</w:t>
      </w:r>
    </w:p>
    <w:p>
      <w:pPr>
        <w:pStyle w:val="Compact"/>
        <w:numPr>
          <w:ilvl w:val="0"/>
          <w:numId w:val="1009"/>
        </w:numPr>
      </w:pPr>
      <w:r>
        <w:t xml:space="preserve">"Research integration patterns between community platforms + CRM + commerce — real-world examples, data flows, measurement enabled"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