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event-marketing--deep-research-template"/>
    <w:p>
      <w:pPr>
        <w:pStyle w:val="Heading1"/>
      </w:pPr>
      <w:r>
        <w:t xml:space="preserve">Event Marketing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 portfolio research</w:t>
      </w:r>
      <w:r>
        <w:t xml:space="preserve"> </w:t>
      </w:r>
      <w:r>
        <w:t xml:space="preserve">— which trade shows / conferences for your category, at what cost, what ROI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Webinar platform evaluation</w:t>
      </w:r>
      <w:r>
        <w:t xml:space="preserve"> </w:t>
      </w:r>
      <w:r>
        <w:t xml:space="preserve">— ON24 / Demio / Livestorm / Goldcast / Zoom Events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conference benchmarks</w:t>
      </w:r>
      <w:r>
        <w:t xml:space="preserve"> </w:t>
      </w:r>
      <w:r>
        <w:t xml:space="preserve">— SaaStr, Dreamforce, HubSpot INBOUND structure and economics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Field event vendor evaluation</w:t>
      </w:r>
      <w:r>
        <w:t xml:space="preserve"> </w:t>
      </w:r>
      <w:r>
        <w:t xml:space="preserve">— experiential agencies, catering, AV, venue platforms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 attribution methodology</w:t>
      </w:r>
      <w:r>
        <w:t xml:space="preserve"> </w:t>
      </w:r>
      <w:r>
        <w:t xml:space="preserve">— how to measure events in multi-touch models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Competitor event strategy teardown</w:t>
      </w:r>
      <w:r>
        <w:t xml:space="preserve"> </w:t>
      </w:r>
      <w:r>
        <w:t xml:space="preserve">— where do competitors show up, what do they do there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Event-organizer content</w:t>
      </w:r>
      <w:r>
        <w:t xml:space="preserve"> </w:t>
      </w:r>
      <w:r>
        <w:t xml:space="preserve">— show directories, attendee profiles, sponsorship packages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Bizzabo / Cvent reports</w:t>
      </w:r>
      <w:r>
        <w:t xml:space="preserve"> </w:t>
      </w:r>
      <w:r>
        <w:t xml:space="preserve">— industry event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Forrester / Gartner event marketing research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 voice on LinkedIn + Slack communities</w:t>
      </w:r>
      <w:r>
        <w:t xml:space="preserve"> </w:t>
      </w:r>
      <w:r>
        <w:t xml:space="preserve">— real cost + ROI from attendees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Conference recap blogs from operators</w:t>
      </w:r>
      <w:r>
        <w:t xml:space="preserve"> </w:t>
      </w:r>
      <w:r>
        <w:t xml:space="preserve">— first-person accounts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SaaStr, Lenny's, CMO Coffee Talk</w:t>
      </w:r>
      <w:r>
        <w:t xml:space="preserve"> </w:t>
      </w:r>
      <w:r>
        <w:t xml:space="preserve">— for B2B event strategy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Event-organizer sales decks (motivated claims)</w:t>
      </w:r>
    </w:p>
    <w:p>
      <w:pPr>
        <w:pStyle w:val="Compact"/>
        <w:numPr>
          <w:ilvl w:val="0"/>
          <w:numId w:val="1003"/>
        </w:numPr>
      </w:pPr>
      <w:r>
        <w:t xml:space="preserve">Generic "ROI of trade shows" content</w:t>
      </w:r>
    </w:p>
    <w:p>
      <w:pPr>
        <w:pStyle w:val="Compact"/>
        <w:numPr>
          <w:ilvl w:val="0"/>
          <w:numId w:val="1003"/>
        </w:numPr>
      </w:pPr>
      <w:r>
        <w:t xml:space="preserve">AI-generated event tips</w:t>
      </w:r>
    </w:p>
    <w:bookmarkEnd w:id="10"/>
    <w:bookmarkStart w:id="15" w:name="question-set-specializations"/>
    <w:p>
      <w:pPr>
        <w:pStyle w:val="Heading2"/>
      </w:pPr>
      <w:r>
        <w:t xml:space="preserve">Question-set specializations</w:t>
      </w:r>
    </w:p>
    <w:bookmarkStart w:id="11" w:name="for-event-portfolio-research"/>
    <w:p>
      <w:pPr>
        <w:pStyle w:val="Heading3"/>
      </w:pPr>
      <w:r>
        <w:t xml:space="preserve">For event portfolio research:</w:t>
      </w:r>
    </w:p>
    <w:p>
      <w:pPr>
        <w:pStyle w:val="Compact"/>
        <w:numPr>
          <w:ilvl w:val="0"/>
          <w:numId w:val="1004"/>
        </w:numPr>
      </w:pPr>
      <w:r>
        <w:t xml:space="preserve">Tier-1 / tier-2 / tier-3 events in your category by ICP-fit</w:t>
      </w:r>
    </w:p>
    <w:p>
      <w:pPr>
        <w:pStyle w:val="Compact"/>
        <w:numPr>
          <w:ilvl w:val="0"/>
          <w:numId w:val="1004"/>
        </w:numPr>
      </w:pPr>
      <w:r>
        <w:t xml:space="preserve">Typical attendee profile (title, company size, industry)</w:t>
      </w:r>
    </w:p>
    <w:p>
      <w:pPr>
        <w:pStyle w:val="Compact"/>
        <w:numPr>
          <w:ilvl w:val="0"/>
          <w:numId w:val="1004"/>
        </w:numPr>
      </w:pPr>
      <w:r>
        <w:t xml:space="preserve">Sponsorship package costs (booth, speaking slot, hosted event)</w:t>
      </w:r>
    </w:p>
    <w:p>
      <w:pPr>
        <w:pStyle w:val="Compact"/>
        <w:numPr>
          <w:ilvl w:val="0"/>
          <w:numId w:val="1004"/>
        </w:numPr>
      </w:pPr>
      <w:r>
        <w:t xml:space="preserve">Historical attendance trend</w:t>
      </w:r>
    </w:p>
    <w:p>
      <w:pPr>
        <w:pStyle w:val="Compact"/>
        <w:numPr>
          <w:ilvl w:val="0"/>
          <w:numId w:val="1004"/>
        </w:numPr>
      </w:pPr>
      <w:r>
        <w:t xml:space="preserve">Parallel events / side events at the conference</w:t>
      </w:r>
    </w:p>
    <w:p>
      <w:pPr>
        <w:pStyle w:val="Compact"/>
        <w:numPr>
          <w:ilvl w:val="0"/>
          <w:numId w:val="1004"/>
        </w:numPr>
      </w:pPr>
      <w:r>
        <w:t xml:space="preserve">Past brand presence (who sponsored, what worked)</w:t>
      </w:r>
    </w:p>
    <w:p>
      <w:pPr>
        <w:pStyle w:val="Compact"/>
        <w:numPr>
          <w:ilvl w:val="0"/>
          <w:numId w:val="1004"/>
        </w:numPr>
      </w:pPr>
      <w:r>
        <w:t xml:space="preserve">ROI benchmarks from attendee reports</w:t>
      </w:r>
    </w:p>
    <w:bookmarkEnd w:id="11"/>
    <w:bookmarkStart w:id="12" w:name="for-webinar-platform"/>
    <w:p>
      <w:pPr>
        <w:pStyle w:val="Heading3"/>
      </w:pPr>
      <w:r>
        <w:t xml:space="preserve">For webinar platform:</w:t>
      </w:r>
    </w:p>
    <w:p>
      <w:pPr>
        <w:pStyle w:val="Compact"/>
        <w:numPr>
          <w:ilvl w:val="0"/>
          <w:numId w:val="1005"/>
        </w:numPr>
      </w:pPr>
      <w:r>
        <w:t xml:space="preserve">Registration / attendance UX</w:t>
      </w:r>
    </w:p>
    <w:p>
      <w:pPr>
        <w:pStyle w:val="Compact"/>
        <w:numPr>
          <w:ilvl w:val="0"/>
          <w:numId w:val="1005"/>
        </w:numPr>
      </w:pPr>
      <w:r>
        <w:t xml:space="preserve">Multi-session management</w:t>
      </w:r>
    </w:p>
    <w:p>
      <w:pPr>
        <w:pStyle w:val="Compact"/>
        <w:numPr>
          <w:ilvl w:val="0"/>
          <w:numId w:val="1005"/>
        </w:numPr>
      </w:pPr>
      <w:r>
        <w:t xml:space="preserve">Content hub / on-demand library</w:t>
      </w:r>
    </w:p>
    <w:p>
      <w:pPr>
        <w:pStyle w:val="Compact"/>
        <w:numPr>
          <w:ilvl w:val="0"/>
          <w:numId w:val="1005"/>
        </w:numPr>
      </w:pPr>
      <w:r>
        <w:t xml:space="preserve">Integration (CRM, MAP, sales engagement)</w:t>
      </w:r>
    </w:p>
    <w:p>
      <w:pPr>
        <w:pStyle w:val="Compact"/>
        <w:numPr>
          <w:ilvl w:val="0"/>
          <w:numId w:val="1005"/>
        </w:numPr>
      </w:pPr>
      <w:r>
        <w:t xml:space="preserve">Analytics depth</w:t>
      </w:r>
    </w:p>
    <w:p>
      <w:pPr>
        <w:pStyle w:val="Compact"/>
        <w:numPr>
          <w:ilvl w:val="0"/>
          <w:numId w:val="1005"/>
        </w:numPr>
      </w:pPr>
      <w:r>
        <w:t xml:space="preserve">Scale ceiling (simultaneous attendees, number of events/month)</w:t>
      </w:r>
    </w:p>
    <w:p>
      <w:pPr>
        <w:pStyle w:val="Compact"/>
        <w:numPr>
          <w:ilvl w:val="0"/>
          <w:numId w:val="1005"/>
        </w:numPr>
      </w:pPr>
      <w:r>
        <w:t xml:space="preserve">Pricing</w:t>
      </w:r>
    </w:p>
    <w:p>
      <w:pPr>
        <w:pStyle w:val="Compact"/>
        <w:numPr>
          <w:ilvl w:val="0"/>
          <w:numId w:val="1005"/>
        </w:numPr>
      </w:pPr>
      <w:r>
        <w:t xml:space="preserve">Customer quality (operator brand names using it)</w:t>
      </w:r>
    </w:p>
    <w:bookmarkEnd w:id="12"/>
    <w:bookmarkStart w:id="13" w:name="for-competitor-event-strategy-teardown"/>
    <w:p>
      <w:pPr>
        <w:pStyle w:val="Heading3"/>
      </w:pPr>
      <w:r>
        <w:t xml:space="preserve">For competitor event strategy teardown:</w:t>
      </w:r>
    </w:p>
    <w:p>
      <w:pPr>
        <w:pStyle w:val="Compact"/>
        <w:numPr>
          <w:ilvl w:val="0"/>
          <w:numId w:val="1006"/>
        </w:numPr>
      </w:pPr>
      <w:r>
        <w:t xml:space="preserve">Which events they attend / sponsor</w:t>
      </w:r>
    </w:p>
    <w:p>
      <w:pPr>
        <w:pStyle w:val="Compact"/>
        <w:numPr>
          <w:ilvl w:val="0"/>
          <w:numId w:val="1006"/>
        </w:numPr>
      </w:pPr>
      <w:r>
        <w:t xml:space="preserve">Booth size + presence</w:t>
      </w:r>
    </w:p>
    <w:p>
      <w:pPr>
        <w:pStyle w:val="Compact"/>
        <w:numPr>
          <w:ilvl w:val="0"/>
          <w:numId w:val="1006"/>
        </w:numPr>
      </w:pPr>
      <w:r>
        <w:t xml:space="preserve">Speaking slots + topics</w:t>
      </w:r>
    </w:p>
    <w:p>
      <w:pPr>
        <w:pStyle w:val="Compact"/>
        <w:numPr>
          <w:ilvl w:val="0"/>
          <w:numId w:val="1006"/>
        </w:numPr>
      </w:pPr>
      <w:r>
        <w:t xml:space="preserve">Hosted side events</w:t>
      </w:r>
    </w:p>
    <w:p>
      <w:pPr>
        <w:pStyle w:val="Compact"/>
        <w:numPr>
          <w:ilvl w:val="0"/>
          <w:numId w:val="1006"/>
        </w:numPr>
      </w:pPr>
      <w:r>
        <w:t xml:space="preserve">Social promotion patterns</w:t>
      </w:r>
    </w:p>
    <w:p>
      <w:pPr>
        <w:pStyle w:val="Compact"/>
        <w:numPr>
          <w:ilvl w:val="0"/>
          <w:numId w:val="1006"/>
        </w:numPr>
      </w:pPr>
      <w:r>
        <w:t xml:space="preserve">Thought-leadership approach</w:t>
      </w:r>
    </w:p>
    <w:bookmarkEnd w:id="13"/>
    <w:bookmarkStart w:id="14" w:name="for-attribution-methodology"/>
    <w:p>
      <w:pPr>
        <w:pStyle w:val="Heading3"/>
      </w:pPr>
      <w:r>
        <w:t xml:space="preserve">For attribution methodology:</w:t>
      </w:r>
    </w:p>
    <w:p>
      <w:pPr>
        <w:pStyle w:val="Compact"/>
        <w:numPr>
          <w:ilvl w:val="0"/>
          <w:numId w:val="1007"/>
        </w:numPr>
      </w:pPr>
      <w:r>
        <w:t xml:space="preserve">Multi-touch weighting for events (first-touch, last-touch, weighted)</w:t>
      </w:r>
    </w:p>
    <w:p>
      <w:pPr>
        <w:pStyle w:val="Compact"/>
        <w:numPr>
          <w:ilvl w:val="0"/>
          <w:numId w:val="1007"/>
        </w:numPr>
      </w:pPr>
      <w:r>
        <w:t xml:space="preserve">Offline-to-online attribution technique</w:t>
      </w:r>
    </w:p>
    <w:p>
      <w:pPr>
        <w:pStyle w:val="Compact"/>
        <w:numPr>
          <w:ilvl w:val="0"/>
          <w:numId w:val="1007"/>
        </w:numPr>
      </w:pPr>
      <w:r>
        <w:t xml:space="preserve">Event-specific vs. generic multi-touch credit</w:t>
      </w:r>
    </w:p>
    <w:p>
      <w:pPr>
        <w:pStyle w:val="Compact"/>
        <w:numPr>
          <w:ilvl w:val="0"/>
          <w:numId w:val="1007"/>
        </w:numPr>
      </w:pPr>
      <w:r>
        <w:t xml:space="preserve">Pipeline-acceleration measurement</w:t>
      </w:r>
    </w:p>
    <w:p>
      <w:pPr>
        <w:pStyle w:val="Compact"/>
        <w:numPr>
          <w:ilvl w:val="0"/>
          <w:numId w:val="1007"/>
        </w:numPr>
      </w:pPr>
      <w:r>
        <w:t xml:space="preserve">Brand-lift measurement adjacent to event exposure</w:t>
      </w:r>
    </w:p>
    <w:bookmarkEnd w:id="14"/>
    <w:bookmarkEnd w:id="15"/>
    <w:bookmarkStart w:id="16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B2B sales enablement adjacent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 content strategy and re-use</w:t>
      </w:r>
    </w:p>
    <w:bookmarkEnd w:id="16"/>
    <w:bookmarkStart w:id="17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9"/>
        </w:numPr>
      </w:pPr>
      <w:r>
        <w:t xml:space="preserve">"Research top-15 B2B SaaS conferences 2026 for</w:t>
      </w:r>
      <w:r>
        <w:t xml:space="preserve"> </w:t>
      </w:r>
      <m:oMath>
        <m:r>
          <m:t>30</m:t>
        </m:r>
        <m:r>
          <m:rPr>
            <m:sty m:val="p"/>
          </m:rPr>
          <m:t>−</m:t>
        </m:r>
      </m:oMath>
      <w:r>
        <w:t xml:space="preserve">100M ARR company — attendee profiles, sponsorship costs, peer brands, ROI benchmarks"</w:t>
      </w:r>
    </w:p>
    <w:p>
      <w:pPr>
        <w:pStyle w:val="Compact"/>
        <w:numPr>
          <w:ilvl w:val="0"/>
          <w:numId w:val="1009"/>
        </w:numPr>
      </w:pPr>
      <w:r>
        <w:t xml:space="preserve">"Evaluate ON24 vs. Goldcast vs. Demio vs. Zoom Events for 2 webinars/month engine — feature parity, integrations, pricing"</w:t>
      </w:r>
    </w:p>
    <w:p>
      <w:pPr>
        <w:pStyle w:val="Compact"/>
        <w:numPr>
          <w:ilvl w:val="0"/>
          <w:numId w:val="1009"/>
        </w:numPr>
      </w:pPr>
      <w:r>
        <w:t xml:space="preserve">"Research customer-conference economics at SaaS companies</w:t>
      </w:r>
      <w:r>
        <w:t xml:space="preserve"> </w:t>
      </w:r>
      <m:oMath>
        <m:r>
          <m:t>100</m:t>
        </m:r>
        <m:r>
          <m:t>M</m:t>
        </m:r>
        <m:r>
          <m:rPr>
            <m:sty m:val="p"/>
          </m:rPr>
          <m:t>−</m:t>
        </m:r>
      </m:oMath>
      <w:r>
        <w:t xml:space="preserve">500M ARR — budget per attendee, session design, speaker mix, content re-use"</w:t>
      </w:r>
    </w:p>
    <w:p>
      <w:pPr>
        <w:pStyle w:val="Compact"/>
        <w:numPr>
          <w:ilvl w:val="0"/>
          <w:numId w:val="1009"/>
        </w:numPr>
      </w:pPr>
      <w:r>
        <w:t xml:space="preserve">"Teardown of competitor event strategy at top-5 sponsors of Dreamforce 2025 — presence, activations, content themes"</w:t>
      </w:r>
    </w:p>
    <w:p>
      <w:pPr>
        <w:pStyle w:val="Compact"/>
        <w:numPr>
          <w:ilvl w:val="0"/>
          <w:numId w:val="1009"/>
        </w:numPr>
      </w:pPr>
      <w:r>
        <w:t xml:space="preserve">"Research field event benchmarks — CEO dinner / executive roundtable / hosted lunch — conversion from invite to attendance to opportunity"</w:t>
      </w:r>
    </w:p>
    <w:p>
      <w:pPr>
        <w:pStyle w:val="Compact"/>
        <w:numPr>
          <w:ilvl w:val="0"/>
          <w:numId w:val="1009"/>
        </w:numPr>
      </w:pPr>
      <w:r>
        <w:t xml:space="preserve">"Research event attribution methodology — multi-touch weighting, offline capture, pipeline-acceleration measurement; best-practice from Bizzabo / Cvent / operator case studies"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2026-04-15T22:46:41Z</dcterms:created>
  <dcterms:modified xsi:type="dcterms:W3CDTF">2026-04-15T22:46:41Z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