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02c4f64ef362516c0e248972d9a70039e03859"/>
    <w:p>
      <w:pPr>
        <w:pStyle w:val="Heading1"/>
      </w:pPr>
      <w:r>
        <w:t xml:space="preserve">Geographic / International Expansion Program — Bootstrap</w:t>
      </w:r>
    </w:p>
    <w:p>
      <w:pPr>
        <w:pStyle w:val="BlockText"/>
      </w:pPr>
      <w:r>
        <w:rPr>
          <w:b/>
          <w:bCs/>
        </w:rPr>
        <w:t xml:space="preserve">Inherits from:</w:t>
      </w:r>
      <w:r>
        <w:t xml:space="preserve"> </w:t>
      </w:r>
      <w:r>
        <w:rPr>
          <w:rStyle w:val="VerbatimChar"/>
        </w:rPr>
        <w:t xml:space="preserve">~/.claude/templates/session-kickoff-bootstrap.md</w:t>
      </w:r>
    </w:p>
    <w:p>
      <w:pPr>
        <w:pStyle w:val="BlockText"/>
      </w:pPr>
      <w:r>
        <w:rPr>
          <w:b/>
          <w:bCs/>
        </w:rPr>
        <w:t xml:space="preserve">Use when:</w:t>
      </w:r>
      <w:r>
        <w:t xml:space="preserve"> </w:t>
      </w:r>
      <w:r>
        <w:t xml:space="preserve">expanding a brand or product into new geographic markets — UK / EU / CA / AU / APAC / LATAM — from a home-market starting position.</w:t>
      </w:r>
    </w:p>
    <w:p>
      <w:r>
        <w:pict>
          <v:rect style="width:0;height:1.5pt" o:hralign="center" o:hrstd="t" o:hr="t"/>
        </w:pict>
      </w:r>
    </w:p>
    <w:bookmarkStart w:id="9" w:name="who-this-is-for"/>
    <w:p>
      <w:pPr>
        <w:pStyle w:val="Heading2"/>
      </w:pPr>
      <w:r>
        <w:t xml:space="preserve">Who this is for</w:t>
      </w:r>
    </w:p>
    <w:p>
      <w:pPr>
        <w:pStyle w:val="FirstParagraph"/>
      </w:pPr>
      <w:r>
        <w:t xml:space="preserve">International leaders, VPs of growth, CEOs at DTC / CPG / B2B SaaS entering new markets. Programs span 16-36 weeks depending on market complexity and compliance overhead.</w:t>
      </w:r>
    </w:p>
    <w:bookmarkEnd w:id="9"/>
    <w:bookmarkStart w:id="17" w:name="opinionated-defaults"/>
    <w:p>
      <w:pPr>
        <w:pStyle w:val="Heading2"/>
      </w:pPr>
      <w:r>
        <w:t xml:space="preserve">Opinionated defaults</w:t>
      </w:r>
    </w:p>
    <w:bookmarkStart w:id="10" w:name="market-prioritization-framework"/>
    <w:p>
      <w:pPr>
        <w:pStyle w:val="Heading3"/>
      </w:pPr>
      <w:r>
        <w:t xml:space="preserve">Market prioritization framework</w:t>
      </w:r>
    </w:p>
    <w:p>
      <w:pPr>
        <w:pStyle w:val="Compact"/>
        <w:numPr>
          <w:ilvl w:val="0"/>
          <w:numId w:val="1001"/>
        </w:numPr>
      </w:pPr>
      <w:r>
        <w:rPr>
          <w:b/>
          <w:bCs/>
        </w:rPr>
        <w:t xml:space="preserve">Score markets on 4 dimensions:</w:t>
      </w:r>
      <w:r>
        <w:t xml:space="preserve"> </w:t>
      </w:r>
      <w:r>
        <w:t xml:space="preserve">market size × competitive density × entry difficulty × brand fit</w:t>
      </w:r>
    </w:p>
    <w:p>
      <w:pPr>
        <w:pStyle w:val="Compact"/>
        <w:numPr>
          <w:ilvl w:val="0"/>
          <w:numId w:val="1001"/>
        </w:numPr>
      </w:pPr>
      <w:r>
        <w:rPr>
          <w:b/>
          <w:bCs/>
        </w:rPr>
        <w:t xml:space="preserve">English-first markets first:</w:t>
      </w:r>
      <w:r>
        <w:t xml:space="preserve"> </w:t>
      </w:r>
      <w:r>
        <w:t xml:space="preserve">UK / Ireland / Australia / Canada — lower localization cost, faster ramp</w:t>
      </w:r>
    </w:p>
    <w:p>
      <w:pPr>
        <w:pStyle w:val="Compact"/>
        <w:numPr>
          <w:ilvl w:val="0"/>
          <w:numId w:val="1001"/>
        </w:numPr>
      </w:pPr>
      <w:r>
        <w:rPr>
          <w:b/>
          <w:bCs/>
        </w:rPr>
        <w:t xml:space="preserve">EU by tier:</w:t>
      </w:r>
      <w:r>
        <w:t xml:space="preserve"> </w:t>
      </w:r>
      <w:r>
        <w:t xml:space="preserve">DACH (DE/AT/CH), Nordics (SE/DK/NO/FI/NL), Southern (FR/IT/ES) — each has different regulatory + commercial dynamics</w:t>
      </w:r>
    </w:p>
    <w:p>
      <w:pPr>
        <w:pStyle w:val="Compact"/>
        <w:numPr>
          <w:ilvl w:val="0"/>
          <w:numId w:val="1001"/>
        </w:numPr>
      </w:pPr>
      <w:r>
        <w:rPr>
          <w:b/>
          <w:bCs/>
        </w:rPr>
        <w:t xml:space="preserve">APAC by gateway:</w:t>
      </w:r>
      <w:r>
        <w:t xml:space="preserve"> </w:t>
      </w:r>
      <w:r>
        <w:t xml:space="preserve">Singapore for SEA entry, Japan alone (unique market), Australia for regional toehold</w:t>
      </w:r>
    </w:p>
    <w:p>
      <w:pPr>
        <w:pStyle w:val="Compact"/>
        <w:numPr>
          <w:ilvl w:val="0"/>
          <w:numId w:val="1001"/>
        </w:numPr>
      </w:pPr>
      <w:r>
        <w:rPr>
          <w:b/>
          <w:bCs/>
        </w:rPr>
        <w:t xml:space="preserve">LATAM:</w:t>
      </w:r>
      <w:r>
        <w:t xml:space="preserve"> </w:t>
      </w:r>
      <w:r>
        <w:t xml:space="preserve">Mexico + Brazil as anchor markets; others require local partnerships</w:t>
      </w:r>
    </w:p>
    <w:bookmarkEnd w:id="10"/>
    <w:bookmarkStart w:id="11" w:name="entry-modes"/>
    <w:p>
      <w:pPr>
        <w:pStyle w:val="Heading3"/>
      </w:pPr>
      <w:r>
        <w:t xml:space="preserve">Entry modes</w:t>
      </w:r>
    </w:p>
    <w:p>
      <w:pPr>
        <w:pStyle w:val="Compact"/>
        <w:numPr>
          <w:ilvl w:val="0"/>
          <w:numId w:val="1002"/>
        </w:numPr>
      </w:pPr>
      <w:r>
        <w:rPr>
          <w:b/>
          <w:bCs/>
        </w:rPr>
        <w:t xml:space="preserve">DTC-only:</w:t>
      </w:r>
      <w:r>
        <w:t xml:space="preserve"> </w:t>
      </w:r>
      <w:r>
        <w:t xml:space="preserve">fastest, lowest committed capital, best for validating demand before physical investment</w:t>
      </w:r>
    </w:p>
    <w:p>
      <w:pPr>
        <w:pStyle w:val="Compact"/>
        <w:numPr>
          <w:ilvl w:val="0"/>
          <w:numId w:val="1002"/>
        </w:numPr>
      </w:pPr>
      <w:r>
        <w:rPr>
          <w:b/>
          <w:bCs/>
        </w:rPr>
        <w:t xml:space="preserve">Marketplace-first:</w:t>
      </w:r>
      <w:r>
        <w:t xml:space="preserve"> </w:t>
      </w:r>
      <w:r>
        <w:t xml:space="preserve">Amazon EU / Amazon UK, TMall / JD.com, Mercado Libre — leverage existing platform</w:t>
      </w:r>
    </w:p>
    <w:p>
      <w:pPr>
        <w:pStyle w:val="Compact"/>
        <w:numPr>
          <w:ilvl w:val="0"/>
          <w:numId w:val="1002"/>
        </w:numPr>
      </w:pPr>
      <w:r>
        <w:rPr>
          <w:b/>
          <w:bCs/>
        </w:rPr>
        <w:t xml:space="preserve">Retail + DTC parallel:</w:t>
      </w:r>
      <w:r>
        <w:t xml:space="preserve"> </w:t>
      </w:r>
      <w:r>
        <w:t xml:space="preserve">requires local warehouse, local compliance, local sales motion</w:t>
      </w:r>
    </w:p>
    <w:p>
      <w:pPr>
        <w:pStyle w:val="Compact"/>
        <w:numPr>
          <w:ilvl w:val="0"/>
          <w:numId w:val="1002"/>
        </w:numPr>
      </w:pPr>
      <w:r>
        <w:rPr>
          <w:b/>
          <w:bCs/>
        </w:rPr>
        <w:t xml:space="preserve">Partnership / distributor:</w:t>
      </w:r>
      <w:r>
        <w:t xml:space="preserve"> </w:t>
      </w:r>
      <w:r>
        <w:t xml:space="preserve">lowest capital, highest margin compression, fastest market coverage</w:t>
      </w:r>
    </w:p>
    <w:bookmarkEnd w:id="11"/>
    <w:bookmarkStart w:id="12" w:name="regulatory--compliance"/>
    <w:p>
      <w:pPr>
        <w:pStyle w:val="Heading3"/>
      </w:pPr>
      <w:r>
        <w:t xml:space="preserve">Regulatory + compliance</w:t>
      </w:r>
    </w:p>
    <w:p>
      <w:pPr>
        <w:pStyle w:val="Compact"/>
        <w:numPr>
          <w:ilvl w:val="0"/>
          <w:numId w:val="1003"/>
        </w:numPr>
      </w:pPr>
      <w:r>
        <w:rPr>
          <w:b/>
          <w:bCs/>
        </w:rPr>
        <w:t xml:space="preserve">Product compliance:</w:t>
      </w:r>
      <w:r>
        <w:t xml:space="preserve"> </w:t>
      </w:r>
      <w:r>
        <w:t xml:space="preserve">CE marking (EU), UKCA (UK post-Brexit), FDA parallel (US-to-EU), PMD A (JP), NMPA (China) — category-dependent</w:t>
      </w:r>
    </w:p>
    <w:p>
      <w:pPr>
        <w:pStyle w:val="Compact"/>
        <w:numPr>
          <w:ilvl w:val="0"/>
          <w:numId w:val="1003"/>
        </w:numPr>
      </w:pPr>
      <w:r>
        <w:rPr>
          <w:b/>
          <w:bCs/>
        </w:rPr>
        <w:t xml:space="preserve">Tax:</w:t>
      </w:r>
      <w:r>
        <w:t xml:space="preserve"> </w:t>
      </w:r>
      <w:r>
        <w:t xml:space="preserve">VAT (UK/EU), GST (AU/SG), consumption tax (JP) — must register before selling</w:t>
      </w:r>
    </w:p>
    <w:p>
      <w:pPr>
        <w:pStyle w:val="Compact"/>
        <w:numPr>
          <w:ilvl w:val="0"/>
          <w:numId w:val="1003"/>
        </w:numPr>
      </w:pPr>
      <w:r>
        <w:rPr>
          <w:b/>
          <w:bCs/>
        </w:rPr>
        <w:t xml:space="preserve">Labeling:</w:t>
      </w:r>
      <w:r>
        <w:t xml:space="preserve"> </w:t>
      </w:r>
      <w:r>
        <w:t xml:space="preserve">language, claims, ingredient disclosure, allergen warnings, units</w:t>
      </w:r>
    </w:p>
    <w:p>
      <w:pPr>
        <w:pStyle w:val="Compact"/>
        <w:numPr>
          <w:ilvl w:val="0"/>
          <w:numId w:val="1003"/>
        </w:numPr>
      </w:pPr>
      <w:r>
        <w:rPr>
          <w:b/>
          <w:bCs/>
        </w:rPr>
        <w:t xml:space="preserve">Data privacy:</w:t>
      </w:r>
      <w:r>
        <w:t xml:space="preserve"> </w:t>
      </w:r>
      <w:r>
        <w:t xml:space="preserve">GDPR (EU), UK GDPR, PIPEDA (CA), LGPD (BR), PIPA (KR) — consent architecture differs</w:t>
      </w:r>
    </w:p>
    <w:p>
      <w:pPr>
        <w:pStyle w:val="Compact"/>
        <w:numPr>
          <w:ilvl w:val="0"/>
          <w:numId w:val="1003"/>
        </w:numPr>
      </w:pPr>
      <w:r>
        <w:rPr>
          <w:b/>
          <w:bCs/>
        </w:rPr>
        <w:t xml:space="preserve">Payment regulations:</w:t>
      </w:r>
      <w:r>
        <w:t xml:space="preserve"> </w:t>
      </w:r>
      <w:r>
        <w:t xml:space="preserve">SCA (EU), PSD2, local banking requirements</w:t>
      </w:r>
    </w:p>
    <w:bookmarkEnd w:id="12"/>
    <w:bookmarkStart w:id="13" w:name="pricing--fx"/>
    <w:p>
      <w:pPr>
        <w:pStyle w:val="Heading3"/>
      </w:pPr>
      <w:r>
        <w:t xml:space="preserve">Pricing + FX</w:t>
      </w:r>
    </w:p>
    <w:p>
      <w:pPr>
        <w:pStyle w:val="Compact"/>
        <w:numPr>
          <w:ilvl w:val="0"/>
          <w:numId w:val="1004"/>
        </w:numPr>
      </w:pPr>
      <w:r>
        <w:rPr>
          <w:b/>
          <w:bCs/>
        </w:rPr>
        <w:t xml:space="preserve">Pricing power varies by market</w:t>
      </w:r>
      <w:r>
        <w:t xml:space="preserve"> </w:t>
      </w:r>
      <w:r>
        <w:t xml:space="preserve">— US → EU typically 15-30% premium sustainable; US → APAC often 30-50% premium; emerging markets often requires price reduction</w:t>
      </w:r>
    </w:p>
    <w:p>
      <w:pPr>
        <w:pStyle w:val="Compact"/>
        <w:numPr>
          <w:ilvl w:val="0"/>
          <w:numId w:val="1004"/>
        </w:numPr>
      </w:pPr>
      <w:r>
        <w:rPr>
          <w:b/>
          <w:bCs/>
        </w:rPr>
        <w:t xml:space="preserve">FX strategy:</w:t>
      </w:r>
      <w:r>
        <w:t xml:space="preserve"> </w:t>
      </w:r>
      <w:r>
        <w:t xml:space="preserve">lock rates periodically for predictability, or float for flexibility — choose and commit</w:t>
      </w:r>
    </w:p>
    <w:p>
      <w:pPr>
        <w:pStyle w:val="Compact"/>
        <w:numPr>
          <w:ilvl w:val="0"/>
          <w:numId w:val="1004"/>
        </w:numPr>
      </w:pPr>
      <w:r>
        <w:rPr>
          <w:b/>
          <w:bCs/>
        </w:rPr>
        <w:t xml:space="preserve">Pricing architecture:</w:t>
      </w:r>
      <w:r>
        <w:t xml:space="preserve"> </w:t>
      </w:r>
      <w:r>
        <w:t xml:space="preserve">local-market pricing vs. USD-converted pricing; local wins in mature markets</w:t>
      </w:r>
    </w:p>
    <w:p>
      <w:pPr>
        <w:pStyle w:val="Compact"/>
        <w:numPr>
          <w:ilvl w:val="0"/>
          <w:numId w:val="1004"/>
        </w:numPr>
      </w:pPr>
      <w:r>
        <w:rPr>
          <w:b/>
          <w:bCs/>
        </w:rPr>
        <w:t xml:space="preserve">Duties + landed cost modeling</w:t>
      </w:r>
      <w:r>
        <w:t xml:space="preserve"> </w:t>
      </w:r>
      <w:r>
        <w:t xml:space="preserve">required before pricing</w:t>
      </w:r>
    </w:p>
    <w:bookmarkEnd w:id="13"/>
    <w:bookmarkStart w:id="14" w:name="payment-methods"/>
    <w:p>
      <w:pPr>
        <w:pStyle w:val="Heading3"/>
      </w:pPr>
      <w:r>
        <w:t xml:space="preserve">Payment methods</w:t>
      </w:r>
    </w:p>
    <w:p>
      <w:pPr>
        <w:pStyle w:val="Compact"/>
        <w:numPr>
          <w:ilvl w:val="0"/>
          <w:numId w:val="1005"/>
        </w:numPr>
      </w:pPr>
      <w:r>
        <w:rPr>
          <w:b/>
          <w:bCs/>
        </w:rPr>
        <w:t xml:space="preserve">Market-specific payment methods are table stakes:</w:t>
      </w:r>
    </w:p>
    <w:p>
      <w:pPr>
        <w:pStyle w:val="Compact"/>
        <w:numPr>
          <w:ilvl w:val="1"/>
          <w:numId w:val="1006"/>
        </w:numPr>
      </w:pPr>
      <w:r>
        <w:t xml:space="preserve">EU: SEPA Direct Debit, Klarna, iDEAL (NL), Sofort (DE), Przelewy24 (PL)</w:t>
      </w:r>
    </w:p>
    <w:p>
      <w:pPr>
        <w:pStyle w:val="Compact"/>
        <w:numPr>
          <w:ilvl w:val="1"/>
          <w:numId w:val="1006"/>
        </w:numPr>
      </w:pPr>
      <w:r>
        <w:t xml:space="preserve">UK: BACS, Klarna</w:t>
      </w:r>
    </w:p>
    <w:p>
      <w:pPr>
        <w:pStyle w:val="Compact"/>
        <w:numPr>
          <w:ilvl w:val="1"/>
          <w:numId w:val="1006"/>
        </w:numPr>
      </w:pPr>
      <w:r>
        <w:t xml:space="preserve">LATAM: Pix (BR), OXXO (MX), MercadoPago</w:t>
      </w:r>
    </w:p>
    <w:p>
      <w:pPr>
        <w:pStyle w:val="Compact"/>
        <w:numPr>
          <w:ilvl w:val="1"/>
          <w:numId w:val="1006"/>
        </w:numPr>
      </w:pPr>
      <w:r>
        <w:t xml:space="preserve">APAC: Alipay, WeChat Pay (CN); PayPay, LINE Pay (JP); GrabPay (SEA)</w:t>
      </w:r>
    </w:p>
    <w:p>
      <w:pPr>
        <w:pStyle w:val="Compact"/>
        <w:numPr>
          <w:ilvl w:val="0"/>
          <w:numId w:val="1005"/>
        </w:numPr>
      </w:pPr>
      <w:r>
        <w:rPr>
          <w:b/>
          <w:bCs/>
        </w:rPr>
        <w:t xml:space="preserve">Missing local payment = 30-50% conversion loss</w:t>
      </w:r>
      <w:r>
        <w:t xml:space="preserve"> </w:t>
      </w:r>
      <w:r>
        <w:t xml:space="preserve">(empirically measured in multiple markets)</w:t>
      </w:r>
    </w:p>
    <w:bookmarkEnd w:id="14"/>
    <w:bookmarkStart w:id="15" w:name="fulfillment"/>
    <w:p>
      <w:pPr>
        <w:pStyle w:val="Heading3"/>
      </w:pPr>
      <w:r>
        <w:t xml:space="preserve">Fulfillment</w:t>
      </w:r>
    </w:p>
    <w:p>
      <w:pPr>
        <w:pStyle w:val="Compact"/>
        <w:numPr>
          <w:ilvl w:val="0"/>
          <w:numId w:val="1007"/>
        </w:numPr>
      </w:pPr>
      <w:r>
        <w:rPr>
          <w:b/>
          <w:bCs/>
        </w:rPr>
        <w:t xml:space="preserve">Cross-border shipping:</w:t>
      </w:r>
      <w:r>
        <w:t xml:space="preserve"> </w:t>
      </w:r>
      <w:r>
        <w:t xml:space="preserve">high cost, long transit, customs uncertainty — good for validation, bad for scale</w:t>
      </w:r>
    </w:p>
    <w:p>
      <w:pPr>
        <w:pStyle w:val="Compact"/>
        <w:numPr>
          <w:ilvl w:val="0"/>
          <w:numId w:val="1007"/>
        </w:numPr>
      </w:pPr>
      <w:r>
        <w:rPr>
          <w:b/>
          <w:bCs/>
        </w:rPr>
        <w:t xml:space="preserve">Local warehouse (3PL):</w:t>
      </w:r>
      <w:r>
        <w:t xml:space="preserve"> </w:t>
      </w:r>
      <w:r>
        <w:t xml:space="preserve">required at scale; 3PL selection takes 60-90 days</w:t>
      </w:r>
    </w:p>
    <w:p>
      <w:pPr>
        <w:pStyle w:val="Compact"/>
        <w:numPr>
          <w:ilvl w:val="0"/>
          <w:numId w:val="1007"/>
        </w:numPr>
      </w:pPr>
      <w:r>
        <w:rPr>
          <w:b/>
          <w:bCs/>
        </w:rPr>
        <w:t xml:space="preserve">Amazon FBA-EU / Amazon FBA-international:</w:t>
      </w:r>
      <w:r>
        <w:t xml:space="preserve"> </w:t>
      </w:r>
      <w:r>
        <w:t xml:space="preserve">shortcut for marketplace-first entry</w:t>
      </w:r>
    </w:p>
    <w:p>
      <w:pPr>
        <w:pStyle w:val="Compact"/>
        <w:numPr>
          <w:ilvl w:val="0"/>
          <w:numId w:val="1007"/>
        </w:numPr>
      </w:pPr>
      <w:r>
        <w:rPr>
          <w:b/>
          <w:bCs/>
        </w:rPr>
        <w:t xml:space="preserve">Duties + taxes at delivery:</w:t>
      </w:r>
      <w:r>
        <w:t xml:space="preserve"> </w:t>
      </w:r>
      <w:r>
        <w:t xml:space="preserve">manage or bake into price (DAP vs. DDP terms)</w:t>
      </w:r>
    </w:p>
    <w:bookmarkEnd w:id="15"/>
    <w:bookmarkStart w:id="16" w:name="marketing-localization"/>
    <w:p>
      <w:pPr>
        <w:pStyle w:val="Heading3"/>
      </w:pPr>
      <w:r>
        <w:t xml:space="preserve">Marketing localization</w:t>
      </w:r>
    </w:p>
    <w:p>
      <w:pPr>
        <w:pStyle w:val="Compact"/>
        <w:numPr>
          <w:ilvl w:val="0"/>
          <w:numId w:val="1008"/>
        </w:numPr>
      </w:pPr>
      <w:r>
        <w:rPr>
          <w:b/>
          <w:bCs/>
        </w:rPr>
        <w:t xml:space="preserve">Translation ≠ localization</w:t>
      </w:r>
      <w:r>
        <w:t xml:space="preserve"> </w:t>
      </w:r>
      <w:r>
        <w:t xml:space="preserve">— cultural, visual, claim, humor, and messaging must adapt</w:t>
      </w:r>
    </w:p>
    <w:p>
      <w:pPr>
        <w:pStyle w:val="Compact"/>
        <w:numPr>
          <w:ilvl w:val="0"/>
          <w:numId w:val="1008"/>
        </w:numPr>
      </w:pPr>
      <w:r>
        <w:rPr>
          <w:b/>
          <w:bCs/>
        </w:rPr>
        <w:t xml:space="preserve">Local operator required</w:t>
      </w:r>
      <w:r>
        <w:t xml:space="preserve"> </w:t>
      </w:r>
      <w:r>
        <w:t xml:space="preserve">for any market beyond English-first; in-house or contracted</w:t>
      </w:r>
    </w:p>
    <w:p>
      <w:pPr>
        <w:pStyle w:val="Compact"/>
        <w:numPr>
          <w:ilvl w:val="0"/>
          <w:numId w:val="1008"/>
        </w:numPr>
      </w:pPr>
      <w:r>
        <w:rPr>
          <w:b/>
          <w:bCs/>
        </w:rPr>
        <w:t xml:space="preserve">Channel mix shifts:</w:t>
      </w:r>
      <w:r>
        <w:t xml:space="preserve"> </w:t>
      </w:r>
      <w:r>
        <w:t xml:space="preserve">paid search dominant in US may be weaker than paid social in SEA; local social platforms (LINE in JP, Kakao in KR, Weibo in CN) matter</w:t>
      </w:r>
    </w:p>
    <w:p>
      <w:pPr>
        <w:pStyle w:val="Compact"/>
        <w:numPr>
          <w:ilvl w:val="0"/>
          <w:numId w:val="1008"/>
        </w:numPr>
      </w:pPr>
      <w:r>
        <w:rPr>
          <w:b/>
          <w:bCs/>
        </w:rPr>
        <w:t xml:space="preserve">Influencer / creator ecosystems are local</w:t>
      </w:r>
      <w:r>
        <w:t xml:space="preserve"> </w:t>
      </w:r>
      <w:r>
        <w:t xml:space="preserve">— US creators don't reach UK audiences at scale</w:t>
      </w:r>
    </w:p>
    <w:bookmarkEnd w:id="16"/>
    <w:bookmarkEnd w:id="17"/>
    <w:bookmarkStart w:id="18" w:name="step-0--interview-question-additions"/>
    <w:p>
      <w:pPr>
        <w:pStyle w:val="Heading2"/>
      </w:pPr>
      <w:r>
        <w:t xml:space="preserve">Step 0 — Interview question additions</w:t>
      </w:r>
    </w:p>
    <w:p>
      <w:pPr>
        <w:pStyle w:val="Compact"/>
        <w:numPr>
          <w:ilvl w:val="0"/>
          <w:numId w:val="1009"/>
        </w:numPr>
      </w:pPr>
      <w:r>
        <w:rPr>
          <w:b/>
          <w:bCs/>
        </w:rPr>
        <w:t xml:space="preserve">Target markets</w:t>
      </w:r>
      <w:r>
        <w:t xml:space="preserve"> </w:t>
      </w:r>
      <w:r>
        <w:t xml:space="preserve">— which, in what sequence?</w:t>
      </w:r>
    </w:p>
    <w:p>
      <w:pPr>
        <w:pStyle w:val="Compact"/>
        <w:numPr>
          <w:ilvl w:val="0"/>
          <w:numId w:val="1009"/>
        </w:numPr>
      </w:pPr>
      <w:r>
        <w:rPr>
          <w:b/>
          <w:bCs/>
        </w:rPr>
        <w:t xml:space="preserve">Entry rationale</w:t>
      </w:r>
      <w:r>
        <w:t xml:space="preserve"> </w:t>
      </w:r>
      <w:r>
        <w:t xml:space="preserve">— brand opportunity, supply chain, regulatory tailwind, follower demand?</w:t>
      </w:r>
    </w:p>
    <w:p>
      <w:pPr>
        <w:pStyle w:val="Compact"/>
        <w:numPr>
          <w:ilvl w:val="0"/>
          <w:numId w:val="1009"/>
        </w:numPr>
      </w:pPr>
      <w:r>
        <w:rPr>
          <w:b/>
          <w:bCs/>
        </w:rPr>
        <w:t xml:space="preserve">Current cross-border revenue</w:t>
      </w:r>
      <w:r>
        <w:t xml:space="preserve"> </w:t>
      </w:r>
      <w:r>
        <w:t xml:space="preserve">— any sales to target market already? Via what channel?</w:t>
      </w:r>
    </w:p>
    <w:p>
      <w:pPr>
        <w:pStyle w:val="Compact"/>
        <w:numPr>
          <w:ilvl w:val="0"/>
          <w:numId w:val="1009"/>
        </w:numPr>
      </w:pPr>
      <w:r>
        <w:rPr>
          <w:b/>
          <w:bCs/>
        </w:rPr>
        <w:t xml:space="preserve">Home-market scale</w:t>
      </w:r>
      <w:r>
        <w:t xml:space="preserve"> </w:t>
      </w:r>
      <w:r>
        <w:t xml:space="preserve">— foundation strong enough to support international investment?</w:t>
      </w:r>
    </w:p>
    <w:p>
      <w:pPr>
        <w:pStyle w:val="Compact"/>
        <w:numPr>
          <w:ilvl w:val="0"/>
          <w:numId w:val="1009"/>
        </w:numPr>
      </w:pPr>
      <w:r>
        <w:rPr>
          <w:b/>
          <w:bCs/>
        </w:rPr>
        <w:t xml:space="preserve">Product compliance readiness</w:t>
      </w:r>
      <w:r>
        <w:t xml:space="preserve"> </w:t>
      </w:r>
      <w:r>
        <w:t xml:space="preserve">— CE / UKCA / local certification status?</w:t>
      </w:r>
    </w:p>
    <w:p>
      <w:pPr>
        <w:pStyle w:val="Compact"/>
        <w:numPr>
          <w:ilvl w:val="0"/>
          <w:numId w:val="1009"/>
        </w:numPr>
      </w:pPr>
      <w:r>
        <w:rPr>
          <w:b/>
          <w:bCs/>
        </w:rPr>
        <w:t xml:space="preserve">Tax infrastructure</w:t>
      </w:r>
      <w:r>
        <w:t xml:space="preserve"> </w:t>
      </w:r>
      <w:r>
        <w:t xml:space="preserve">— can you VAT-register, file, collect?</w:t>
      </w:r>
    </w:p>
    <w:p>
      <w:pPr>
        <w:pStyle w:val="Compact"/>
        <w:numPr>
          <w:ilvl w:val="0"/>
          <w:numId w:val="1009"/>
        </w:numPr>
      </w:pPr>
      <w:r>
        <w:rPr>
          <w:b/>
          <w:bCs/>
        </w:rPr>
        <w:t xml:space="preserve">Payment infrastructure</w:t>
      </w:r>
      <w:r>
        <w:t xml:space="preserve"> </w:t>
      </w:r>
      <w:r>
        <w:t xml:space="preserve">— local payment methods supported by current payment processor?</w:t>
      </w:r>
    </w:p>
    <w:p>
      <w:pPr>
        <w:pStyle w:val="Compact"/>
        <w:numPr>
          <w:ilvl w:val="0"/>
          <w:numId w:val="1009"/>
        </w:numPr>
      </w:pPr>
      <w:r>
        <w:rPr>
          <w:b/>
          <w:bCs/>
        </w:rPr>
        <w:t xml:space="preserve">Fulfillment capacity</w:t>
      </w:r>
      <w:r>
        <w:t xml:space="preserve"> </w:t>
      </w:r>
      <w:r>
        <w:t xml:space="preserve">— cross-border only, or planning local 3PL?</w:t>
      </w:r>
    </w:p>
    <w:p>
      <w:pPr>
        <w:pStyle w:val="Compact"/>
        <w:numPr>
          <w:ilvl w:val="0"/>
          <w:numId w:val="1009"/>
        </w:numPr>
      </w:pPr>
      <w:r>
        <w:rPr>
          <w:b/>
          <w:bCs/>
        </w:rPr>
        <w:t xml:space="preserve">Team capacity</w:t>
      </w:r>
      <w:r>
        <w:t xml:space="preserve"> </w:t>
      </w:r>
      <w:r>
        <w:t xml:space="preserve">— local hire, contractor, home-market team managing?</w:t>
      </w:r>
    </w:p>
    <w:p>
      <w:pPr>
        <w:pStyle w:val="Compact"/>
        <w:numPr>
          <w:ilvl w:val="0"/>
          <w:numId w:val="1009"/>
        </w:numPr>
      </w:pPr>
      <w:r>
        <w:rPr>
          <w:b/>
          <w:bCs/>
        </w:rPr>
        <w:t xml:space="preserve">Budget envelope</w:t>
      </w:r>
      <w:r>
        <w:t xml:space="preserve"> </w:t>
      </w:r>
      <w:r>
        <w:t xml:space="preserve">— test budget vs. committed capital</w:t>
      </w:r>
    </w:p>
    <w:p>
      <w:pPr>
        <w:pStyle w:val="Compact"/>
        <w:numPr>
          <w:ilvl w:val="0"/>
          <w:numId w:val="1009"/>
        </w:numPr>
      </w:pPr>
      <w:r>
        <w:rPr>
          <w:b/>
          <w:bCs/>
        </w:rPr>
        <w:t xml:space="preserve">Timeline</w:t>
      </w:r>
      <w:r>
        <w:t xml:space="preserve"> </w:t>
      </w:r>
      <w:r>
        <w:t xml:space="preserve">— soft-launch test vs. full-market entry</w:t>
      </w:r>
    </w:p>
    <w:p>
      <w:pPr>
        <w:pStyle w:val="Compact"/>
        <w:numPr>
          <w:ilvl w:val="0"/>
          <w:numId w:val="1009"/>
        </w:numPr>
      </w:pPr>
      <w:r>
        <w:rPr>
          <w:b/>
          <w:bCs/>
        </w:rPr>
        <w:t xml:space="preserve">Competitive landscape awareness</w:t>
      </w:r>
      <w:r>
        <w:t xml:space="preserve"> </w:t>
      </w:r>
      <w:r>
        <w:t xml:space="preserve">— home competitors already in target market?</w:t>
      </w:r>
    </w:p>
    <w:bookmarkEnd w:id="18"/>
    <w:bookmarkStart w:id="19" w:name="X45d0a4e2b73055437ffce2d4c99613537140445"/>
    <w:p>
      <w:pPr>
        <w:pStyle w:val="Heading2"/>
      </w:pPr>
      <w:r>
        <w:t xml:space="preserve">Step 2 — Milestone template (24-week program for single-market entry)</w:t>
      </w:r>
    </w:p>
    <w:p>
      <w:pPr>
        <w:pStyle w:val="SourceCode"/>
      </w:pPr>
      <w:r>
        <w:rPr>
          <w:rStyle w:val="FunctionTok"/>
        </w:rPr>
        <w:t xml:space="preserve">### M1 — Market Validation + Strategy (week 1-4)</w:t>
      </w:r>
      <w:r>
        <w:br/>
      </w:r>
      <w:r>
        <w:rPr>
          <w:rStyle w:val="SpecialStringTok"/>
        </w:rPr>
        <w:t xml:space="preserve">- </w:t>
      </w:r>
      <w:r>
        <w:rPr>
          <w:rStyle w:val="NormalTok"/>
        </w:rPr>
        <w:t xml:space="preserve">Deliverable: market scorecard; entry mode decision; target customer profile; GTM plan</w:t>
      </w:r>
      <w:r>
        <w:br/>
      </w:r>
      <w:r>
        <w:rPr>
          <w:rStyle w:val="SpecialStringTok"/>
        </w:rPr>
        <w:t xml:space="preserve">- </w:t>
      </w:r>
      <w:r>
        <w:rPr>
          <w:rStyle w:val="NormalTok"/>
        </w:rPr>
        <w:t xml:space="preserve">Validation: strategy sign-off; investment envelope approved</w:t>
      </w:r>
      <w:r>
        <w:br/>
      </w:r>
      <w:r>
        <w:rPr>
          <w:rStyle w:val="SpecialStringTok"/>
        </w:rPr>
        <w:t xml:space="preserve">- </w:t>
      </w:r>
      <w:r>
        <w:rPr>
          <w:rStyle w:val="NormalTok"/>
        </w:rPr>
        <w:t xml:space="preserve">Target: end of week 4</w:t>
      </w:r>
      <w:r>
        <w:br/>
      </w:r>
      <w:r>
        <w:br/>
      </w:r>
      <w:r>
        <w:rPr>
          <w:rStyle w:val="FunctionTok"/>
        </w:rPr>
        <w:t xml:space="preserve">### M2 — Regulatory + Compliance (week 2-10)</w:t>
      </w:r>
      <w:r>
        <w:br/>
      </w:r>
      <w:r>
        <w:rPr>
          <w:rStyle w:val="SpecialStringTok"/>
        </w:rPr>
        <w:t xml:space="preserve">- </w:t>
      </w:r>
      <w:r>
        <w:rPr>
          <w:rStyle w:val="NormalTok"/>
        </w:rPr>
        <w:t xml:space="preserve">Deliverable: product compliance (CE / UKCA / local), tax registration, labeling, privacy compliance</w:t>
      </w:r>
      <w:r>
        <w:br/>
      </w:r>
      <w:r>
        <w:rPr>
          <w:rStyle w:val="SpecialStringTok"/>
        </w:rPr>
        <w:t xml:space="preserve">- </w:t>
      </w:r>
      <w:r>
        <w:rPr>
          <w:rStyle w:val="NormalTok"/>
        </w:rPr>
        <w:t xml:space="preserve">Validation: compliance checklist green; legal sign-off</w:t>
      </w:r>
      <w:r>
        <w:br/>
      </w:r>
      <w:r>
        <w:rPr>
          <w:rStyle w:val="SpecialStringTok"/>
        </w:rPr>
        <w:t xml:space="preserve">- </w:t>
      </w:r>
      <w:r>
        <w:rPr>
          <w:rStyle w:val="NormalTok"/>
        </w:rPr>
        <w:t xml:space="preserve">Target: end of week 10</w:t>
      </w:r>
      <w:r>
        <w:br/>
      </w:r>
      <w:r>
        <w:br/>
      </w:r>
      <w:r>
        <w:rPr>
          <w:rStyle w:val="FunctionTok"/>
        </w:rPr>
        <w:t xml:space="preserve">### M3 — Infrastructure (week 4-12)</w:t>
      </w:r>
      <w:r>
        <w:br/>
      </w:r>
      <w:r>
        <w:rPr>
          <w:rStyle w:val="SpecialStringTok"/>
        </w:rPr>
        <w:t xml:space="preserve">- </w:t>
      </w:r>
      <w:r>
        <w:rPr>
          <w:rStyle w:val="NormalTok"/>
        </w:rPr>
        <w:t xml:space="preserve">Deliverable: local payment methods, 3PL (if applicable), customer support coverage, site localization</w:t>
      </w:r>
      <w:r>
        <w:br/>
      </w:r>
      <w:r>
        <w:rPr>
          <w:rStyle w:val="SpecialStringTok"/>
        </w:rPr>
        <w:t xml:space="preserve">- </w:t>
      </w:r>
      <w:r>
        <w:rPr>
          <w:rStyle w:val="NormalTok"/>
        </w:rPr>
        <w:t xml:space="preserve">Validation: end-to-end purchase test from target-market IP successful</w:t>
      </w:r>
      <w:r>
        <w:br/>
      </w:r>
      <w:r>
        <w:rPr>
          <w:rStyle w:val="SpecialStringTok"/>
        </w:rPr>
        <w:t xml:space="preserve">- </w:t>
      </w:r>
      <w:r>
        <w:rPr>
          <w:rStyle w:val="NormalTok"/>
        </w:rPr>
        <w:t xml:space="preserve">Target: end of week 12</w:t>
      </w:r>
      <w:r>
        <w:br/>
      </w:r>
      <w:r>
        <w:br/>
      </w:r>
      <w:r>
        <w:rPr>
          <w:rStyle w:val="FunctionTok"/>
        </w:rPr>
        <w:t xml:space="preserve">### M4 — Soft Launch (week 12-16)</w:t>
      </w:r>
      <w:r>
        <w:br/>
      </w:r>
      <w:r>
        <w:rPr>
          <w:rStyle w:val="SpecialStringTok"/>
        </w:rPr>
        <w:t xml:space="preserve">- </w:t>
      </w:r>
      <w:r>
        <w:rPr>
          <w:rStyle w:val="NormalTok"/>
        </w:rPr>
        <w:t xml:space="preserve">Deliverable: limited-scope launch (existing customer list, PR, small paid test)</w:t>
      </w:r>
      <w:r>
        <w:br/>
      </w:r>
      <w:r>
        <w:rPr>
          <w:rStyle w:val="SpecialStringTok"/>
        </w:rPr>
        <w:t xml:space="preserve">- </w:t>
      </w:r>
      <w:r>
        <w:rPr>
          <w:rStyle w:val="NormalTok"/>
        </w:rPr>
        <w:t xml:space="preserve">Validation: first 100-500 orders; conversion + CAC benchmarks</w:t>
      </w:r>
      <w:r>
        <w:br/>
      </w:r>
      <w:r>
        <w:rPr>
          <w:rStyle w:val="SpecialStringTok"/>
        </w:rPr>
        <w:t xml:space="preserve">- </w:t>
      </w:r>
      <w:r>
        <w:rPr>
          <w:rStyle w:val="NormalTok"/>
        </w:rPr>
        <w:t xml:space="preserve">Target: end of week 16</w:t>
      </w:r>
      <w:r>
        <w:br/>
      </w:r>
      <w:r>
        <w:br/>
      </w:r>
      <w:r>
        <w:rPr>
          <w:rStyle w:val="FunctionTok"/>
        </w:rPr>
        <w:t xml:space="preserve">### M5 — Paid + Channel Scale (week 16-22)</w:t>
      </w:r>
      <w:r>
        <w:br/>
      </w:r>
      <w:r>
        <w:rPr>
          <w:rStyle w:val="SpecialStringTok"/>
        </w:rPr>
        <w:t xml:space="preserve">- </w:t>
      </w:r>
      <w:r>
        <w:rPr>
          <w:rStyle w:val="NormalTok"/>
        </w:rPr>
        <w:t xml:space="preserve">Deliverable: paid media at target budget; local creator program; retail exploration (if applicable)</w:t>
      </w:r>
      <w:r>
        <w:br/>
      </w:r>
      <w:r>
        <w:rPr>
          <w:rStyle w:val="SpecialStringTok"/>
        </w:rPr>
        <w:t xml:space="preserve">- </w:t>
      </w:r>
      <w:r>
        <w:rPr>
          <w:rStyle w:val="NormalTok"/>
        </w:rPr>
        <w:t xml:space="preserve">Validation: CAC on target; sustainable acquisition</w:t>
      </w:r>
      <w:r>
        <w:br/>
      </w:r>
      <w:r>
        <w:rPr>
          <w:rStyle w:val="SpecialStringTok"/>
        </w:rPr>
        <w:t xml:space="preserve">- </w:t>
      </w:r>
      <w:r>
        <w:rPr>
          <w:rStyle w:val="NormalTok"/>
        </w:rPr>
        <w:t xml:space="preserve">Target: end of week 22</w:t>
      </w:r>
      <w:r>
        <w:br/>
      </w:r>
      <w:r>
        <w:br/>
      </w:r>
      <w:r>
        <w:rPr>
          <w:rStyle w:val="FunctionTok"/>
        </w:rPr>
        <w:t xml:space="preserve">### M6 — Market Review + Scale Decision (week 22-24)</w:t>
      </w:r>
      <w:r>
        <w:br/>
      </w:r>
      <w:r>
        <w:rPr>
          <w:rStyle w:val="SpecialStringTok"/>
        </w:rPr>
        <w:t xml:space="preserve">- </w:t>
      </w:r>
      <w:r>
        <w:rPr>
          <w:rStyle w:val="NormalTok"/>
        </w:rPr>
        <w:t xml:space="preserve">Deliverable: market performance review; scale / iterate / exit decision; next-market planning</w:t>
      </w:r>
      <w:r>
        <w:br/>
      </w:r>
      <w:r>
        <w:rPr>
          <w:rStyle w:val="SpecialStringTok"/>
        </w:rPr>
        <w:t xml:space="preserve">- </w:t>
      </w:r>
      <w:r>
        <w:rPr>
          <w:rStyle w:val="NormalTok"/>
        </w:rPr>
        <w:t xml:space="preserve">Validation: data-driven decision; next-phase plan approved</w:t>
      </w:r>
      <w:r>
        <w:br/>
      </w:r>
      <w:r>
        <w:rPr>
          <w:rStyle w:val="SpecialStringTok"/>
        </w:rPr>
        <w:t xml:space="preserve">- </w:t>
      </w:r>
      <w:r>
        <w:rPr>
          <w:rStyle w:val="NormalTok"/>
        </w:rPr>
        <w:t xml:space="preserve">Target: end of week 24</w:t>
      </w:r>
    </w:p>
    <w:bookmarkEnd w:id="19"/>
    <w:bookmarkStart w:id="20" w:name="step-3--critical-mental-model"/>
    <w:p>
      <w:pPr>
        <w:pStyle w:val="Heading2"/>
      </w:pPr>
      <w:r>
        <w:t xml:space="preserve">Step 3 — Critical mental model</w:t>
      </w:r>
    </w:p>
    <w:p>
      <w:pPr>
        <w:pStyle w:val="BlockText"/>
      </w:pPr>
      <w:r>
        <w:rPr>
          <w:b/>
          <w:bCs/>
        </w:rPr>
        <w:t xml:space="preserve">International expansion is not home market with a new currency.</w:t>
      </w:r>
    </w:p>
    <w:p>
      <w:pPr>
        <w:pStyle w:val="BlockText"/>
      </w:pPr>
      <w:r>
        <w:t xml:space="preserve">Each market is a full GTM rebuild: new regulations, new payment methods, new fulfillment, new competitive set, new creative, new channels, new pricing dynamics, new customer expectations. The brand that works in the US may need significant adaptation to succeed in Germany, and a different adaptation again to succeed in Japan.</w:t>
      </w:r>
    </w:p>
    <w:p>
      <w:pPr>
        <w:pStyle w:val="BlockText"/>
      </w:pPr>
      <w:r>
        <w:t xml:space="preserve">The #1 failure mode is under-investing based on "we'll just translate the site and run the same ads." That fails. The #2 failure mode is over-investing on day 1 — committing to local warehouse, local hire, and full paid media before validating demand. That also fails.</w:t>
      </w:r>
    </w:p>
    <w:p>
      <w:pPr>
        <w:pStyle w:val="BlockText"/>
      </w:pPr>
      <w:r>
        <w:t xml:space="preserve">Healthy expansion: validate with cross-border DTC or marketplace first (90 days), then commit to local infrastructure if signal is strong (next 180 days), then scale (year 2+).</w:t>
      </w:r>
    </w:p>
    <w:bookmarkEnd w:id="20"/>
    <w:bookmarkStart w:id="21" w:name="step-4--domain-validators"/>
    <w:p>
      <w:pPr>
        <w:pStyle w:val="Heading2"/>
      </w:pPr>
      <w:r>
        <w:t xml:space="preserve">Step 4 — Domain validators</w:t>
      </w:r>
    </w:p>
    <w:p>
      <w:pPr>
        <w:pStyle w:val="Compact"/>
        <w:numPr>
          <w:ilvl w:val="0"/>
          <w:numId w:val="1010"/>
        </w:numPr>
      </w:pPr>
      <w:r>
        <w:rPr>
          <w:b/>
          <w:bCs/>
        </w:rPr>
        <w:t xml:space="preserve">Regulatory:</w:t>
      </w:r>
      <w:r>
        <w:t xml:space="preserve"> </w:t>
      </w:r>
      <w:r>
        <w:t xml:space="preserve">product compliance passed; tax registration complete; labels compliant</w:t>
      </w:r>
    </w:p>
    <w:p>
      <w:pPr>
        <w:pStyle w:val="Compact"/>
        <w:numPr>
          <w:ilvl w:val="0"/>
          <w:numId w:val="1010"/>
        </w:numPr>
      </w:pPr>
      <w:r>
        <w:rPr>
          <w:b/>
          <w:bCs/>
        </w:rPr>
        <w:t xml:space="preserve">Infrastructure:</w:t>
      </w:r>
      <w:r>
        <w:t xml:space="preserve"> </w:t>
      </w:r>
      <w:r>
        <w:t xml:space="preserve">local payment methods live; 3PL operational (if in scope); customer support coverage</w:t>
      </w:r>
    </w:p>
    <w:p>
      <w:pPr>
        <w:pStyle w:val="Compact"/>
        <w:numPr>
          <w:ilvl w:val="0"/>
          <w:numId w:val="1010"/>
        </w:numPr>
      </w:pPr>
      <w:r>
        <w:rPr>
          <w:b/>
          <w:bCs/>
        </w:rPr>
        <w:t xml:space="preserve">Localization:</w:t>
      </w:r>
      <w:r>
        <w:t xml:space="preserve"> </w:t>
      </w:r>
      <w:r>
        <w:t xml:space="preserve">site + email + SMS + ads tested from target-market IP</w:t>
      </w:r>
    </w:p>
    <w:p>
      <w:pPr>
        <w:pStyle w:val="Compact"/>
        <w:numPr>
          <w:ilvl w:val="0"/>
          <w:numId w:val="1010"/>
        </w:numPr>
      </w:pPr>
      <w:r>
        <w:rPr>
          <w:b/>
          <w:bCs/>
        </w:rPr>
        <w:t xml:space="preserve">Pricing:</w:t>
      </w:r>
      <w:r>
        <w:t xml:space="preserve"> </w:t>
      </w:r>
      <w:r>
        <w:t xml:space="preserve">landed-cost model verified; FX strategy decided</w:t>
      </w:r>
    </w:p>
    <w:p>
      <w:pPr>
        <w:pStyle w:val="Compact"/>
        <w:numPr>
          <w:ilvl w:val="0"/>
          <w:numId w:val="1010"/>
        </w:numPr>
      </w:pPr>
      <w:r>
        <w:rPr>
          <w:b/>
          <w:bCs/>
        </w:rPr>
        <w:t xml:space="preserve">Measurement:</w:t>
      </w:r>
      <w:r>
        <w:t xml:space="preserve"> </w:t>
      </w:r>
      <w:r>
        <w:t xml:space="preserve">market-specific dashboards; currency-adjusted metrics; local-ID resolution</w:t>
      </w:r>
    </w:p>
    <w:bookmarkEnd w:id="21"/>
    <w:bookmarkStart w:id="22" w:name="step-8--working-protocol-additions"/>
    <w:p>
      <w:pPr>
        <w:pStyle w:val="Heading2"/>
      </w:pPr>
      <w:r>
        <w:t xml:space="preserve">Step 8 — Working protocol additions</w:t>
      </w:r>
    </w:p>
    <w:p>
      <w:pPr>
        <w:pStyle w:val="Compact"/>
        <w:numPr>
          <w:ilvl w:val="0"/>
          <w:numId w:val="1011"/>
        </w:numPr>
      </w:pPr>
      <w:r>
        <w:rPr>
          <w:b/>
          <w:bCs/>
        </w:rPr>
        <w:t xml:space="preserve">Never launch without product compliance</w:t>
      </w:r>
      <w:r>
        <w:t xml:space="preserve"> </w:t>
      </w:r>
      <w:r>
        <w:t xml:space="preserve">— regulatory risk + customs seizures</w:t>
      </w:r>
    </w:p>
    <w:p>
      <w:pPr>
        <w:pStyle w:val="Compact"/>
        <w:numPr>
          <w:ilvl w:val="0"/>
          <w:numId w:val="1011"/>
        </w:numPr>
      </w:pPr>
      <w:r>
        <w:rPr>
          <w:b/>
          <w:bCs/>
        </w:rPr>
        <w:t xml:space="preserve">Never skip local payment methods</w:t>
      </w:r>
      <w:r>
        <w:t xml:space="preserve"> </w:t>
      </w:r>
      <w:r>
        <w:t xml:space="preserve">— conversion loss is 30-50%</w:t>
      </w:r>
    </w:p>
    <w:p>
      <w:pPr>
        <w:pStyle w:val="Compact"/>
        <w:numPr>
          <w:ilvl w:val="0"/>
          <w:numId w:val="1011"/>
        </w:numPr>
      </w:pPr>
      <w:r>
        <w:rPr>
          <w:b/>
          <w:bCs/>
        </w:rPr>
        <w:t xml:space="preserve">Never rely on home-market team for local creative</w:t>
      </w:r>
      <w:r>
        <w:t xml:space="preserve"> </w:t>
      </w:r>
      <w:r>
        <w:t xml:space="preserve">— local operators required beyond English markets</w:t>
      </w:r>
    </w:p>
    <w:p>
      <w:pPr>
        <w:pStyle w:val="Compact"/>
        <w:numPr>
          <w:ilvl w:val="0"/>
          <w:numId w:val="1011"/>
        </w:numPr>
      </w:pPr>
      <w:r>
        <w:rPr>
          <w:b/>
          <w:bCs/>
        </w:rPr>
        <w:t xml:space="preserve">Never over-invest before validating demand</w:t>
      </w:r>
      <w:r>
        <w:t xml:space="preserve"> </w:t>
      </w:r>
      <w:r>
        <w:t xml:space="preserve">— soft launch first</w:t>
      </w:r>
    </w:p>
    <w:p>
      <w:pPr>
        <w:pStyle w:val="Compact"/>
        <w:numPr>
          <w:ilvl w:val="0"/>
          <w:numId w:val="1011"/>
        </w:numPr>
      </w:pPr>
      <w:r>
        <w:rPr>
          <w:b/>
          <w:bCs/>
        </w:rPr>
        <w:t xml:space="preserve">Always price at local-market level</w:t>
      </w:r>
      <w:r>
        <w:t xml:space="preserve"> </w:t>
      </w:r>
      <w:r>
        <w:t xml:space="preserve">in mature markets — USD-converted loses trust</w:t>
      </w:r>
    </w:p>
    <w:p>
      <w:pPr>
        <w:pStyle w:val="Compact"/>
        <w:numPr>
          <w:ilvl w:val="0"/>
          <w:numId w:val="1011"/>
        </w:numPr>
      </w:pPr>
      <w:r>
        <w:rPr>
          <w:b/>
          <w:bCs/>
        </w:rPr>
        <w:t xml:space="preserve">Always budget for FX impact</w:t>
      </w:r>
      <w:r>
        <w:t xml:space="preserve"> </w:t>
      </w:r>
      <w:r>
        <w:t xml:space="preserve">on margin — 5-15% swing is common</w:t>
      </w:r>
    </w:p>
    <w:bookmarkEnd w:id="22"/>
    <w:bookmarkStart w:id="23" w:name="kb-integration"/>
    <w:p>
      <w:pPr>
        <w:pStyle w:val="Heading2"/>
      </w:pPr>
      <w:r>
        <w:t xml:space="preserve">KB integration</w:t>
      </w:r>
    </w:p>
    <w:p>
      <w:pPr>
        <w:pStyle w:val="Compact"/>
        <w:numPr>
          <w:ilvl w:val="0"/>
          <w:numId w:val="1012"/>
        </w:numPr>
      </w:pPr>
      <w:r>
        <w:rPr>
          <w:rStyle w:val="VerbatimChar"/>
        </w:rPr>
        <w:t xml:space="preserve">{{KNOWLEDGE_BASE_ROOT}}/retail-sales-enablement/wiki/_index.md</w:t>
      </w:r>
      <w:r>
        <w:t xml:space="preserve"> </w:t>
      </w:r>
      <w:r>
        <w:t xml:space="preserve">— international retail patterns</w:t>
      </w:r>
    </w:p>
    <w:p>
      <w:pPr>
        <w:pStyle w:val="Compact"/>
        <w:numPr>
          <w:ilvl w:val="0"/>
          <w:numId w:val="1012"/>
        </w:numPr>
      </w:pPr>
      <w:r>
        <w:rPr>
          <w:rStyle w:val="VerbatimChar"/>
        </w:rPr>
        <w:t xml:space="preserve">{{KNOWLEDGE_BASE_ROOT}}/product-research-and-competitive-intelligence/wiki/_index.md</w:t>
      </w:r>
      <w:r>
        <w:t xml:space="preserve"> </w:t>
      </w:r>
      <w:r>
        <w:t xml:space="preserve">— market sizing methodology</w:t>
      </w:r>
    </w:p>
    <w:p>
      <w:pPr>
        <w:pStyle w:val="Compact"/>
        <w:numPr>
          <w:ilvl w:val="0"/>
          <w:numId w:val="1012"/>
        </w:numPr>
      </w:pPr>
      <w:r>
        <w:rPr>
          <w:rStyle w:val="VerbatimChar"/>
        </w:rPr>
        <w:t xml:space="preserve">{{KNOWLEDGE_BASE_ROOT}}/content-and-edtech/wiki/_index.md</w:t>
      </w:r>
      <w:r>
        <w:t xml:space="preserve"> </w:t>
      </w:r>
      <w:r>
        <w:t xml:space="preserve">— localization vs. translation frameworks</w:t>
      </w:r>
    </w:p>
    <w:bookmarkEnd w:id="23"/>
    <w:bookmarkStart w:id="24" w:name="common-example-fills"/>
    <w:p>
      <w:pPr>
        <w:pStyle w:val="Heading2"/>
      </w:pPr>
      <w:r>
        <w:t xml:space="preserve">Common example fills</w:t>
      </w:r>
    </w:p>
    <w:p>
      <w:pPr>
        <w:pStyle w:val="Compact"/>
        <w:numPr>
          <w:ilvl w:val="0"/>
          <w:numId w:val="1013"/>
        </w:numPr>
      </w:pPr>
      <w:r>
        <w:rPr>
          <w:b/>
          <w:bCs/>
        </w:rPr>
        <w:t xml:space="preserve">"Launch UK + Canada for $30M DTC brand — 24-week program, cross-border → local 3PL sequence"</w:t>
      </w:r>
    </w:p>
    <w:p>
      <w:pPr>
        <w:pStyle w:val="Compact"/>
        <w:numPr>
          <w:ilvl w:val="0"/>
          <w:numId w:val="1013"/>
        </w:numPr>
      </w:pPr>
      <w:r>
        <w:rPr>
          <w:b/>
          <w:bCs/>
        </w:rPr>
        <w:t xml:space="preserve">"Enter DACH (Germany / Austria / Switzerland) for CPG beauty brand — full regulatory + localization + 3PL"</w:t>
      </w:r>
    </w:p>
    <w:p>
      <w:pPr>
        <w:pStyle w:val="Compact"/>
        <w:numPr>
          <w:ilvl w:val="0"/>
          <w:numId w:val="1013"/>
        </w:numPr>
      </w:pPr>
      <w:r>
        <w:rPr>
          <w:b/>
          <w:bCs/>
        </w:rPr>
        <w:t xml:space="preserve">"Expand to Australia + New Zealand via Amazon + DTC — 16-week English-market focused program"</w:t>
      </w:r>
    </w:p>
    <w:p>
      <w:pPr>
        <w:pStyle w:val="Compact"/>
        <w:numPr>
          <w:ilvl w:val="0"/>
          <w:numId w:val="1013"/>
        </w:numPr>
      </w:pPr>
      <w:r>
        <w:rPr>
          <w:b/>
          <w:bCs/>
        </w:rPr>
        <w:t xml:space="preserve">"Japan launch for premium outdoor brand — marketplace-first (Rakuten, Amazon JP) + DTC; unique-market considerations"</w:t>
      </w:r>
    </w:p>
    <w:p>
      <w:pPr>
        <w:pStyle w:val="Compact"/>
        <w:numPr>
          <w:ilvl w:val="0"/>
          <w:numId w:val="1013"/>
        </w:numPr>
      </w:pPr>
      <w:r>
        <w:rPr>
          <w:b/>
          <w:bCs/>
        </w:rPr>
        <w:t xml:space="preserve">"LATAM entry via Mercado Libre for DTC brand — marketplace-first with distributor partnerships in Mexico + Brazil"</w:t>
      </w:r>
    </w:p>
    <w:bookmarkEnd w:id="24"/>
    <w:bookmarkStart w:id="25" w:name="hand-off"/>
    <w:p>
      <w:pPr>
        <w:pStyle w:val="Heading2"/>
      </w:pPr>
      <w:r>
        <w:t xml:space="preserve">Hand-off</w:t>
      </w:r>
    </w:p>
    <w:p>
      <w:pPr>
        <w:pStyle w:val="FirstParagraph"/>
      </w:pPr>
      <w:r>
        <w:t xml:space="preserve">After bootstrap, use</w:t>
      </w:r>
      <w:r>
        <w:t xml:space="preserve"> </w:t>
      </w:r>
      <w:r>
        <w:rPr>
          <w:rStyle w:val="VerbatimChar"/>
        </w:rPr>
        <w:t xml:space="preserve">~/.claude/templates/growth-ecommerce/geo-expansion/resumption.md</w:t>
      </w:r>
      <w:r>
        <w:t xml:space="preserv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2026-04-15T22:46:42Z</dcterms:created>
  <dcterms:modified xsi:type="dcterms:W3CDTF">2026-04-15T22:46:42Z</dcterms:modified>
</cp:coreProperties>
</file>

<file path=docProps/custom.xml><?xml version="1.0" encoding="utf-8"?>
<Properties xmlns="http://schemas.openxmlformats.org/officeDocument/2006/custom-properties" xmlns:vt="http://schemas.openxmlformats.org/officeDocument/2006/docPropsVTypes"/>
</file>