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edf281a82cab7898ae03c8479c4de1ddcf737fc"/>
    <w:p>
      <w:pPr>
        <w:pStyle w:val="Heading1"/>
      </w:pPr>
      <w:r>
        <w:t xml:space="preserve">Geographic Expansion — Deep Research Template</w:t>
      </w:r>
    </w:p>
    <w:p>
      <w:pPr>
        <w:pStyle w:val="BlockText"/>
      </w:pPr>
      <w:r>
        <w:rPr>
          <w:b/>
          <w:bCs/>
        </w:rPr>
        <w:t xml:space="preserve">Inherits from:</w:t>
      </w:r>
      <w:r>
        <w:t xml:space="preserve"> </w:t>
      </w:r>
      <w:r>
        <w:rPr>
          <w:rStyle w:val="VerbatimChar"/>
        </w:rPr>
        <w:t xml:space="preserve">~/.claude/templates/deep-research-competitive-landscape.md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deep-research-strategic-portfolio.md</w:t>
      </w:r>
    </w:p>
    <w:p>
      <w:r>
        <w:pict>
          <v:rect style="width:0;height:1.5pt" o:hralign="center" o:hrstd="t" o:hr="t"/>
        </w:pict>
      </w:r>
    </w:p>
    <w:bookmarkStart w:id="9" w:name="use-cases"/>
    <w:p>
      <w:pPr>
        <w:pStyle w:val="Heading2"/>
      </w:pPr>
      <w:r>
        <w:t xml:space="preserve">Use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Target-market prioritization research</w:t>
      </w:r>
      <w:r>
        <w:t xml:space="preserve"> </w:t>
      </w:r>
      <w:r>
        <w:t xml:space="preserve">— which markets first, based on what scoring?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Market-size + category research</w:t>
      </w:r>
      <w:r>
        <w:t xml:space="preserve"> </w:t>
      </w:r>
      <w:r>
        <w:t xml:space="preserve">for specific countries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/ compliance research</w:t>
      </w:r>
      <w:r>
        <w:t xml:space="preserve"> </w:t>
      </w:r>
      <w:r>
        <w:t xml:space="preserve">— product compliance, tax, data-privacy for target market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competitive landscape</w:t>
      </w:r>
      <w:r>
        <w:t xml:space="preserve"> </w:t>
      </w:r>
      <w:r>
        <w:t xml:space="preserve">— who's in the market, how are they positioned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3PL + fulfillment vendor evaluation</w:t>
      </w:r>
      <w:r>
        <w:t xml:space="preserve"> </w:t>
      </w:r>
      <w:r>
        <w:t xml:space="preserve">for specific geography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payment-method research</w:t>
      </w:r>
      <w:r>
        <w:t xml:space="preserve"> </w:t>
      </w:r>
      <w:r>
        <w:t xml:space="preserve">— which methods matter, coverage vs. usage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Culture + localization research</w:t>
      </w:r>
      <w:r>
        <w:t xml:space="preserve"> </w:t>
      </w:r>
      <w:r>
        <w:t xml:space="preserve">— language, color, humor, visual, claim dynamics</w:t>
      </w:r>
    </w:p>
    <w:bookmarkEnd w:id="9"/>
    <w:bookmarkStart w:id="10" w:name="opinionated-source-priorities"/>
    <w:p>
      <w:pPr>
        <w:pStyle w:val="Heading2"/>
      </w:pPr>
      <w:r>
        <w:t xml:space="preserve">Opinionated source priorities</w:t>
      </w:r>
    </w:p>
    <w:p>
      <w:pPr>
        <w:pStyle w:val="FirstParagraph"/>
      </w:pPr>
      <w:r>
        <w:rPr>
          <w:b/>
          <w:bCs/>
        </w:rPr>
        <w:t xml:space="preserve">Prioritize: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Country-specific trade bodies / chambers of commerce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Official government statistics</w:t>
      </w:r>
      <w:r>
        <w:t xml:space="preserve"> </w:t>
      </w:r>
      <w:r>
        <w:t xml:space="preserve">— EU Eurostat, UK ONS, Stats NZ, Stats Canada, Australian Bureau of Statistics, INEGI (Mexico), IBGE (Brazil)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industry associations</w:t>
      </w:r>
      <w:r>
        <w:t xml:space="preserve"> </w:t>
      </w:r>
      <w:r>
        <w:t xml:space="preserve">— category-specific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consumer insights</w:t>
      </w:r>
      <w:r>
        <w:t xml:space="preserve"> </w:t>
      </w:r>
      <w:r>
        <w:t xml:space="preserve">by country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Euromonitor International</w:t>
      </w:r>
      <w:r>
        <w:t xml:space="preserve"> </w:t>
      </w:r>
      <w:r>
        <w:t xml:space="preserve">— category sizing (paid)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Statista</w:t>
      </w:r>
      <w:r>
        <w:t xml:space="preserve"> </w:t>
      </w:r>
      <w:r>
        <w:t xml:space="preserve">by country (paid tier for real data)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 legal firms' published compliance guides</w:t>
      </w:r>
      <w:r>
        <w:t xml:space="preserve"> </w:t>
      </w:r>
      <w:r>
        <w:t xml:space="preserve">— often free, authoritative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International-expansion case studies</w:t>
      </w:r>
      <w:r>
        <w:t xml:space="preserve"> </w:t>
      </w:r>
      <w:r>
        <w:t xml:space="preserve">from operators — 2X eCommerce international episodes, Shopify Plus case studies</w:t>
      </w:r>
    </w:p>
    <w:p>
      <w:pPr>
        <w:pStyle w:val="FirstParagraph"/>
      </w:pPr>
      <w:r>
        <w:rPr>
          <w:b/>
          <w:bCs/>
        </w:rPr>
        <w:t xml:space="preserve">De-prioritize:</w:t>
      </w:r>
    </w:p>
    <w:p>
      <w:pPr>
        <w:pStyle w:val="Compact"/>
        <w:numPr>
          <w:ilvl w:val="0"/>
          <w:numId w:val="1003"/>
        </w:numPr>
      </w:pPr>
      <w:r>
        <w:t xml:space="preserve">Agency-published "how to enter X market" listicles</w:t>
      </w:r>
    </w:p>
    <w:p>
      <w:pPr>
        <w:pStyle w:val="Compact"/>
        <w:numPr>
          <w:ilvl w:val="0"/>
          <w:numId w:val="1003"/>
        </w:numPr>
      </w:pPr>
      <w:r>
        <w:t xml:space="preserve">Generic international-expansion consulting frameworks</w:t>
      </w:r>
    </w:p>
    <w:p>
      <w:pPr>
        <w:pStyle w:val="Compact"/>
        <w:numPr>
          <w:ilvl w:val="0"/>
          <w:numId w:val="1003"/>
        </w:numPr>
      </w:pPr>
      <w:r>
        <w:t xml:space="preserve">AI-generated localization content</w:t>
      </w:r>
    </w:p>
    <w:bookmarkEnd w:id="10"/>
    <w:bookmarkStart w:id="16" w:name="question-set-specializations"/>
    <w:p>
      <w:pPr>
        <w:pStyle w:val="Heading2"/>
      </w:pPr>
      <w:r>
        <w:t xml:space="preserve">Question-set specializations</w:t>
      </w:r>
    </w:p>
    <w:bookmarkStart w:id="11" w:name="for-market-prioritization"/>
    <w:p>
      <w:pPr>
        <w:pStyle w:val="Heading3"/>
      </w:pPr>
      <w:r>
        <w:t xml:space="preserve">For market prioritization:</w:t>
      </w:r>
    </w:p>
    <w:p>
      <w:pPr>
        <w:pStyle w:val="Compact"/>
        <w:numPr>
          <w:ilvl w:val="0"/>
          <w:numId w:val="1004"/>
        </w:numPr>
      </w:pPr>
      <w:r>
        <w:t xml:space="preserve">Market size + growth trend for category</w:t>
      </w:r>
    </w:p>
    <w:p>
      <w:pPr>
        <w:pStyle w:val="Compact"/>
        <w:numPr>
          <w:ilvl w:val="0"/>
          <w:numId w:val="1004"/>
        </w:numPr>
      </w:pPr>
      <w:r>
        <w:t xml:space="preserve">Competitive density + concentration</w:t>
      </w:r>
    </w:p>
    <w:p>
      <w:pPr>
        <w:pStyle w:val="Compact"/>
        <w:numPr>
          <w:ilvl w:val="0"/>
          <w:numId w:val="1004"/>
        </w:numPr>
      </w:pPr>
      <w:r>
        <w:t xml:space="preserve">Regulatory complexity — product compliance, tax, labeling, data privacy</w:t>
      </w:r>
    </w:p>
    <w:p>
      <w:pPr>
        <w:pStyle w:val="Compact"/>
        <w:numPr>
          <w:ilvl w:val="0"/>
          <w:numId w:val="1004"/>
        </w:numPr>
      </w:pPr>
      <w:r>
        <w:t xml:space="preserve">Payment infrastructure — local methods, acceptance of global methods</w:t>
      </w:r>
    </w:p>
    <w:p>
      <w:pPr>
        <w:pStyle w:val="Compact"/>
        <w:numPr>
          <w:ilvl w:val="0"/>
          <w:numId w:val="1004"/>
        </w:numPr>
      </w:pPr>
      <w:r>
        <w:t xml:space="preserve">Fulfillment accessibility — 3PL options, customs complexity</w:t>
      </w:r>
    </w:p>
    <w:p>
      <w:pPr>
        <w:pStyle w:val="Compact"/>
        <w:numPr>
          <w:ilvl w:val="0"/>
          <w:numId w:val="1004"/>
        </w:numPr>
      </w:pPr>
      <w:r>
        <w:t xml:space="preserve">Brand / category fit — cultural resonance, existing demand signals</w:t>
      </w:r>
    </w:p>
    <w:p>
      <w:pPr>
        <w:pStyle w:val="Compact"/>
        <w:numPr>
          <w:ilvl w:val="0"/>
          <w:numId w:val="1004"/>
        </w:numPr>
      </w:pPr>
      <w:r>
        <w:t xml:space="preserve">Operating cost — local hire costs, marketing CPMs, freight</w:t>
      </w:r>
    </w:p>
    <w:p>
      <w:pPr>
        <w:pStyle w:val="Compact"/>
        <w:numPr>
          <w:ilvl w:val="0"/>
          <w:numId w:val="1004"/>
        </w:numPr>
      </w:pPr>
      <w:r>
        <w:t xml:space="preserve">Language + localization effort</w:t>
      </w:r>
    </w:p>
    <w:bookmarkEnd w:id="11"/>
    <w:bookmarkStart w:id="12" w:name="for-regulatory-research"/>
    <w:p>
      <w:pPr>
        <w:pStyle w:val="Heading3"/>
      </w:pPr>
      <w:r>
        <w:t xml:space="preserve">For regulatory research:</w:t>
      </w:r>
    </w:p>
    <w:p>
      <w:pPr>
        <w:pStyle w:val="Compact"/>
        <w:numPr>
          <w:ilvl w:val="0"/>
          <w:numId w:val="1005"/>
        </w:numPr>
      </w:pPr>
      <w:r>
        <w:t xml:space="preserve">Product compliance requirements (CE, UKCA, FDA-parallel, PMDA, NMPA)</w:t>
      </w:r>
    </w:p>
    <w:p>
      <w:pPr>
        <w:pStyle w:val="Compact"/>
        <w:numPr>
          <w:ilvl w:val="0"/>
          <w:numId w:val="1005"/>
        </w:numPr>
      </w:pPr>
      <w:r>
        <w:t xml:space="preserve">Tax regime — VAT / GST / consumption tax rates, registration thresholds</w:t>
      </w:r>
    </w:p>
    <w:p>
      <w:pPr>
        <w:pStyle w:val="Compact"/>
        <w:numPr>
          <w:ilvl w:val="0"/>
          <w:numId w:val="1005"/>
        </w:numPr>
      </w:pPr>
      <w:r>
        <w:t xml:space="preserve">Import duties + landed cost calculation</w:t>
      </w:r>
    </w:p>
    <w:p>
      <w:pPr>
        <w:pStyle w:val="Compact"/>
        <w:numPr>
          <w:ilvl w:val="0"/>
          <w:numId w:val="1005"/>
        </w:numPr>
      </w:pPr>
      <w:r>
        <w:t xml:space="preserve">Data privacy regime — consent architecture requirements</w:t>
      </w:r>
    </w:p>
    <w:p>
      <w:pPr>
        <w:pStyle w:val="Compact"/>
        <w:numPr>
          <w:ilvl w:val="0"/>
          <w:numId w:val="1005"/>
        </w:numPr>
      </w:pPr>
      <w:r>
        <w:t xml:space="preserve">Labeling + claims requirements — language, units, allergens, marks</w:t>
      </w:r>
    </w:p>
    <w:p>
      <w:pPr>
        <w:pStyle w:val="Compact"/>
        <w:numPr>
          <w:ilvl w:val="0"/>
          <w:numId w:val="1005"/>
        </w:numPr>
      </w:pPr>
      <w:r>
        <w:t xml:space="preserve">Advertising regulations — claims, endorsements, comparative advertising</w:t>
      </w:r>
    </w:p>
    <w:p>
      <w:pPr>
        <w:pStyle w:val="Compact"/>
        <w:numPr>
          <w:ilvl w:val="0"/>
          <w:numId w:val="1005"/>
        </w:numPr>
      </w:pPr>
      <w:r>
        <w:t xml:space="preserve">Consumer protection — return rights, warranty requirements, distance-selling rules</w:t>
      </w:r>
    </w:p>
    <w:bookmarkEnd w:id="12"/>
    <w:bookmarkStart w:id="13" w:name="for-local-competitive-landscape"/>
    <w:p>
      <w:pPr>
        <w:pStyle w:val="Heading3"/>
      </w:pPr>
      <w:r>
        <w:t xml:space="preserve">For local competitive landscape:</w:t>
      </w:r>
    </w:p>
    <w:p>
      <w:pPr>
        <w:pStyle w:val="Compact"/>
        <w:numPr>
          <w:ilvl w:val="0"/>
          <w:numId w:val="1006"/>
        </w:numPr>
      </w:pPr>
      <w:r>
        <w:t xml:space="preserve">Top 10-15 competitors in category in target market</w:t>
      </w:r>
    </w:p>
    <w:p>
      <w:pPr>
        <w:pStyle w:val="Compact"/>
        <w:numPr>
          <w:ilvl w:val="0"/>
          <w:numId w:val="1006"/>
        </w:numPr>
      </w:pPr>
      <w:r>
        <w:t xml:space="preserve">Pricing architecture — local vs. imported</w:t>
      </w:r>
    </w:p>
    <w:p>
      <w:pPr>
        <w:pStyle w:val="Compact"/>
        <w:numPr>
          <w:ilvl w:val="0"/>
          <w:numId w:val="1006"/>
        </w:numPr>
      </w:pPr>
      <w:r>
        <w:t xml:space="preserve">Retail + DTC + marketplace mix</w:t>
      </w:r>
    </w:p>
    <w:p>
      <w:pPr>
        <w:pStyle w:val="Compact"/>
        <w:numPr>
          <w:ilvl w:val="0"/>
          <w:numId w:val="1006"/>
        </w:numPr>
      </w:pPr>
      <w:r>
        <w:t xml:space="preserve">Marketing channel mix — paid, organic, creator</w:t>
      </w:r>
    </w:p>
    <w:p>
      <w:pPr>
        <w:pStyle w:val="Compact"/>
        <w:numPr>
          <w:ilvl w:val="0"/>
          <w:numId w:val="1006"/>
        </w:numPr>
      </w:pPr>
      <w:r>
        <w:t xml:space="preserve">Local vs. global competitors — who's winning</w:t>
      </w:r>
    </w:p>
    <w:p>
      <w:pPr>
        <w:pStyle w:val="Compact"/>
        <w:numPr>
          <w:ilvl w:val="0"/>
          <w:numId w:val="1006"/>
        </w:numPr>
      </w:pPr>
      <w:r>
        <w:t xml:space="preserve">Recent market entries — who launched, how did it go</w:t>
      </w:r>
    </w:p>
    <w:bookmarkEnd w:id="13"/>
    <w:bookmarkStart w:id="14" w:name="for-3pl-evaluation"/>
    <w:p>
      <w:pPr>
        <w:pStyle w:val="Heading3"/>
      </w:pPr>
      <w:r>
        <w:t xml:space="preserve">For 3PL evaluation:</w:t>
      </w:r>
    </w:p>
    <w:p>
      <w:pPr>
        <w:pStyle w:val="Compact"/>
        <w:numPr>
          <w:ilvl w:val="0"/>
          <w:numId w:val="1007"/>
        </w:numPr>
      </w:pPr>
      <w:r>
        <w:t xml:space="preserve">Country coverage + local warehouse presence</w:t>
      </w:r>
    </w:p>
    <w:p>
      <w:pPr>
        <w:pStyle w:val="Compact"/>
        <w:numPr>
          <w:ilvl w:val="0"/>
          <w:numId w:val="1007"/>
        </w:numPr>
      </w:pPr>
      <w:r>
        <w:t xml:space="preserve">Customs + duties expertise</w:t>
      </w:r>
    </w:p>
    <w:p>
      <w:pPr>
        <w:pStyle w:val="Compact"/>
        <w:numPr>
          <w:ilvl w:val="0"/>
          <w:numId w:val="1007"/>
        </w:numPr>
      </w:pPr>
      <w:r>
        <w:t xml:space="preserve">Integration with home-market systems (Shopify / ERP)</w:t>
      </w:r>
    </w:p>
    <w:p>
      <w:pPr>
        <w:pStyle w:val="Compact"/>
        <w:numPr>
          <w:ilvl w:val="0"/>
          <w:numId w:val="1007"/>
        </w:numPr>
      </w:pPr>
      <w:r>
        <w:t xml:space="preserve">Pricing — storage, pick/pack, shipping tiers</w:t>
      </w:r>
    </w:p>
    <w:p>
      <w:pPr>
        <w:pStyle w:val="Compact"/>
        <w:numPr>
          <w:ilvl w:val="0"/>
          <w:numId w:val="1007"/>
        </w:numPr>
      </w:pPr>
      <w:r>
        <w:t xml:space="preserve">Returns handling — local return address, processing</w:t>
      </w:r>
    </w:p>
    <w:p>
      <w:pPr>
        <w:pStyle w:val="Compact"/>
        <w:numPr>
          <w:ilvl w:val="0"/>
          <w:numId w:val="1007"/>
        </w:numPr>
      </w:pPr>
      <w:r>
        <w:t xml:space="preserve">Category expertise (cold-chain, fragile, hazmat if applicable)</w:t>
      </w:r>
    </w:p>
    <w:p>
      <w:pPr>
        <w:pStyle w:val="Compact"/>
        <w:numPr>
          <w:ilvl w:val="0"/>
          <w:numId w:val="1007"/>
        </w:numPr>
      </w:pPr>
      <w:r>
        <w:t xml:space="preserve">Customer-reference brands + track record</w:t>
      </w:r>
    </w:p>
    <w:bookmarkEnd w:id="14"/>
    <w:bookmarkStart w:id="15" w:name="for-payment-method-research"/>
    <w:p>
      <w:pPr>
        <w:pStyle w:val="Heading3"/>
      </w:pPr>
      <w:r>
        <w:t xml:space="preserve">For payment-method research:</w:t>
      </w:r>
    </w:p>
    <w:p>
      <w:pPr>
        <w:pStyle w:val="Compact"/>
        <w:numPr>
          <w:ilvl w:val="0"/>
          <w:numId w:val="1008"/>
        </w:numPr>
      </w:pPr>
      <w:r>
        <w:t xml:space="preserve">Top 5-10 payment methods by country by usage</w:t>
      </w:r>
    </w:p>
    <w:p>
      <w:pPr>
        <w:pStyle w:val="Compact"/>
        <w:numPr>
          <w:ilvl w:val="0"/>
          <w:numId w:val="1008"/>
        </w:numPr>
      </w:pPr>
      <w:r>
        <w:t xml:space="preserve">Acceptance + integration via current payment processor</w:t>
      </w:r>
    </w:p>
    <w:p>
      <w:pPr>
        <w:pStyle w:val="Compact"/>
        <w:numPr>
          <w:ilvl w:val="0"/>
          <w:numId w:val="1008"/>
        </w:numPr>
      </w:pPr>
      <w:r>
        <w:t xml:space="preserve">Cost difference vs. global methods</w:t>
      </w:r>
    </w:p>
    <w:p>
      <w:pPr>
        <w:pStyle w:val="Compact"/>
        <w:numPr>
          <w:ilvl w:val="0"/>
          <w:numId w:val="1008"/>
        </w:numPr>
      </w:pPr>
      <w:r>
        <w:t xml:space="preserve">Fraud-rate differences</w:t>
      </w:r>
    </w:p>
    <w:p>
      <w:pPr>
        <w:pStyle w:val="Compact"/>
        <w:numPr>
          <w:ilvl w:val="0"/>
          <w:numId w:val="1008"/>
        </w:numPr>
      </w:pPr>
      <w:r>
        <w:t xml:space="preserve">Chargeback / dispute rules</w:t>
      </w:r>
    </w:p>
    <w:bookmarkEnd w:id="15"/>
    <w:bookmarkEnd w:id="16"/>
    <w:bookmarkStart w:id="17" w:name="kb-integration"/>
    <w:p>
      <w:pPr>
        <w:pStyle w:val="Heading2"/>
      </w:pPr>
      <w:r>
        <w:t xml:space="preserve">KB integration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{{KNOWLEDGE_BASE_ROOT}}/retail-sales-enablement/wiki/_index.md</w:t>
      </w:r>
      <w:r>
        <w:t xml:space="preserve"> </w:t>
      </w:r>
      <w:r>
        <w:t xml:space="preserve">— retail patterns that transfer internationally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{{KNOWLEDGE_BASE_ROOT}}/product-research-and-competitive-intelligence/wiki/_index.md</w:t>
      </w:r>
      <w:r>
        <w:t xml:space="preserve"> </w:t>
      </w:r>
      <w:r>
        <w:t xml:space="preserve">— competitive-landscape methodology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{{KNOWLEDGE_BASE_ROOT}}/content-and-edtech/wiki/_index.md</w:t>
      </w:r>
      <w:r>
        <w:t xml:space="preserve"> </w:t>
      </w:r>
      <w:r>
        <w:t xml:space="preserve">— localization frameworks</w:t>
      </w:r>
    </w:p>
    <w:bookmarkEnd w:id="17"/>
    <w:bookmarkStart w:id="18" w:name="example-filled-in-briefs"/>
    <w:p>
      <w:pPr>
        <w:pStyle w:val="Heading2"/>
      </w:pPr>
      <w:r>
        <w:t xml:space="preserve">Example filled-in briefs</w:t>
      </w:r>
    </w:p>
    <w:p>
      <w:pPr>
        <w:pStyle w:val="Compact"/>
        <w:numPr>
          <w:ilvl w:val="0"/>
          <w:numId w:val="1010"/>
        </w:numPr>
      </w:pPr>
      <w:r>
        <w:t xml:space="preserve">"Research market prioritization for DTC beauty brand expanding from US — UK / DACH / Nordics / Australia / Japan — scored across size × competitive density × entry difficulty × brand fit"</w:t>
      </w:r>
    </w:p>
    <w:p>
      <w:pPr>
        <w:pStyle w:val="Compact"/>
        <w:numPr>
          <w:ilvl w:val="0"/>
          <w:numId w:val="1010"/>
        </w:numPr>
      </w:pPr>
      <w:r>
        <w:t xml:space="preserve">"Research UK regulatory + compliance requirements for DTC CPG brand — UKCA marking post-Brexit, VAT, labeling, data privacy, advertising claims"</w:t>
      </w:r>
    </w:p>
    <w:p>
      <w:pPr>
        <w:pStyle w:val="Compact"/>
        <w:numPr>
          <w:ilvl w:val="0"/>
          <w:numId w:val="1010"/>
        </w:numPr>
      </w:pPr>
      <w:r>
        <w:t xml:space="preserve">"Research DE / AT / CH (DACH) competitive landscape for premium outdoor gear — top 15 competitors, positioning map, channel mix, pricing architecture"</w:t>
      </w:r>
    </w:p>
    <w:p>
      <w:pPr>
        <w:pStyle w:val="Compact"/>
        <w:numPr>
          <w:ilvl w:val="0"/>
          <w:numId w:val="1010"/>
        </w:numPr>
      </w:pPr>
      <w:r>
        <w:t xml:space="preserve">"Evaluate 3PL options for APAC expansion — Singapore + Japan + Australia — cost, coverage, integration, track record"</w:t>
      </w:r>
    </w:p>
    <w:p>
      <w:pPr>
        <w:pStyle w:val="Compact"/>
        <w:numPr>
          <w:ilvl w:val="0"/>
          <w:numId w:val="1010"/>
        </w:numPr>
      </w:pPr>
      <w:r>
        <w:t xml:space="preserve">"Research local payment-method coverage for EU entry — by country, which methods matter, measured conversion impact of missing each"</w:t>
      </w:r>
    </w:p>
    <w:p>
      <w:pPr>
        <w:pStyle w:val="Compact"/>
        <w:numPr>
          <w:ilvl w:val="0"/>
          <w:numId w:val="1010"/>
        </w:numPr>
      </w:pPr>
      <w:r>
        <w:t xml:space="preserve">"Research culturally-adapted creative for Japan market — humor, color, visual conventions, claim style — with examples from brands that succeeded vs. failed"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2026-04-15T22:46:42Z</dcterms:created>
  <dcterms:modified xsi:type="dcterms:W3CDTF">2026-04-15T22:46:42Z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