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geographic-expansion-program--resumption"/>
    <w:p>
      <w:pPr>
        <w:pStyle w:val="Heading1"/>
      </w:pPr>
      <w:r>
        <w:t xml:space="preserve">Geographic Expansion Program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"Launch-week readiness check for UK"</w:t>
      </w:r>
    </w:p>
    <w:p>
      <w:pPr>
        <w:pStyle w:val="Compact"/>
        <w:numPr>
          <w:ilvl w:val="0"/>
          <w:numId w:val="1001"/>
        </w:numPr>
      </w:pPr>
      <w:r>
        <w:t xml:space="preserve">"Customs seizure investigation — last batch held at EU border"</w:t>
      </w:r>
    </w:p>
    <w:p>
      <w:pPr>
        <w:pStyle w:val="Compact"/>
        <w:numPr>
          <w:ilvl w:val="0"/>
          <w:numId w:val="1001"/>
        </w:numPr>
      </w:pPr>
      <w:r>
        <w:t xml:space="preserve">"Local payment-method integration (iDEAL, Klarna)"</w:t>
      </w:r>
    </w:p>
    <w:p>
      <w:pPr>
        <w:pStyle w:val="Compact"/>
        <w:numPr>
          <w:ilvl w:val="0"/>
          <w:numId w:val="1001"/>
        </w:numPr>
      </w:pPr>
      <w:r>
        <w:t xml:space="preserve">"CAC drift diagnosis — EU paid performance collapsed"</w:t>
      </w:r>
    </w:p>
    <w:p>
      <w:pPr>
        <w:pStyle w:val="Compact"/>
        <w:numPr>
          <w:ilvl w:val="0"/>
          <w:numId w:val="1001"/>
        </w:numPr>
      </w:pPr>
      <w:r>
        <w:t xml:space="preserve">"Third-party logistics (3PL) selection for APAC entry"</w:t>
      </w:r>
    </w:p>
    <w:p>
      <w:pPr>
        <w:pStyle w:val="Compact"/>
        <w:numPr>
          <w:ilvl w:val="0"/>
          <w:numId w:val="1001"/>
        </w:numPr>
      </w:pPr>
      <w:r>
        <w:t xml:space="preserve">"Regulatory update impact — new UK packaging rules"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compliance flag active?</w:t>
      </w:r>
      <w:r>
        <w:t xml:space="preserve"> </w:t>
      </w:r>
      <w:r>
        <w:t xml:space="preserve">Product compliance failure = customs seizure, not a delay. Stop-ship until resolved.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tax registration or filing issue?</w:t>
      </w:r>
      <w:r>
        <w:t xml:space="preserve"> </w:t>
      </w:r>
      <w:r>
        <w:t xml:space="preserve">VAT / GST penalties compound; resolve immediately.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FX volatility affecting margin?</w:t>
      </w:r>
      <w:r>
        <w:t xml:space="preserve"> </w:t>
      </w:r>
      <w:r>
        <w:t xml:space="preserve">Track, adjust pricing if sustained.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local regulatory change in last 30 days?</w:t>
      </w:r>
      <w:r>
        <w:t xml:space="preserve"> </w:t>
      </w:r>
      <w:r>
        <w:t xml:space="preserve">Product compliance, data privacy, labeling rules do shift.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customer-service language / timezone gap causing complaints?</w:t>
      </w:r>
      <w:r>
        <w:t xml:space="preserve"> </w:t>
      </w:r>
      <w:r>
        <w:t xml:space="preserve">Local coverage needs investigation.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 payment-method outage?</w:t>
      </w:r>
      <w:r>
        <w:t xml:space="preserve"> </w:t>
      </w:r>
      <w:r>
        <w:t xml:space="preserve">iDEAL / Klarna / Pix / AliPay occasionally have regional issues — conversion drops silently.</w:t>
      </w:r>
    </w:p>
    <w:bookmarkEnd w:id="10"/>
    <w:bookmarkStart w:id="15" w:name="ranked-work-patterns"/>
    <w:p>
      <w:pPr>
        <w:pStyle w:val="Heading2"/>
      </w:pPr>
      <w:r>
        <w:t xml:space="preserve">Ranked work patterns</w:t>
      </w:r>
    </w:p>
    <w:bookmarkStart w:id="11" w:name="if-customs-issue--regulatory-block"/>
    <w:p>
      <w:pPr>
        <w:pStyle w:val="Heading3"/>
      </w:pPr>
      <w:r>
        <w:t xml:space="preserve">If customs issue / regulatory block</w:t>
      </w:r>
    </w:p>
    <w:p>
      <w:pPr>
        <w:pStyle w:val="FirstParagraph"/>
      </w:pPr>
      <w:r>
        <w:t xml:space="preserve">Drop everything:</w:t>
      </w:r>
    </w:p>
    <w:p>
      <w:pPr>
        <w:pStyle w:val="Compact"/>
        <w:numPr>
          <w:ilvl w:val="0"/>
          <w:numId w:val="1003"/>
        </w:numPr>
      </w:pPr>
      <w:r>
        <w:t xml:space="preserve">Identify specific compliance gap (label, certification, ingredient, claim, documentation)</w:t>
      </w:r>
    </w:p>
    <w:p>
      <w:pPr>
        <w:pStyle w:val="Compact"/>
        <w:numPr>
          <w:ilvl w:val="0"/>
          <w:numId w:val="1003"/>
        </w:numPr>
      </w:pPr>
      <w:r>
        <w:t xml:space="preserve">Remediate — new labels, updated certification, corrected documentation</w:t>
      </w:r>
    </w:p>
    <w:p>
      <w:pPr>
        <w:pStyle w:val="Compact"/>
        <w:numPr>
          <w:ilvl w:val="0"/>
          <w:numId w:val="1003"/>
        </w:numPr>
      </w:pPr>
      <w:r>
        <w:t xml:space="preserve">Arrange alternate shipment (re-export, destroy, rework)</w:t>
      </w:r>
    </w:p>
    <w:p>
      <w:pPr>
        <w:pStyle w:val="Compact"/>
        <w:numPr>
          <w:ilvl w:val="0"/>
          <w:numId w:val="1003"/>
        </w:numPr>
      </w:pPr>
      <w:r>
        <w:t xml:space="preserve">Document learning; add to compliance checklist</w:t>
      </w:r>
    </w:p>
    <w:bookmarkEnd w:id="11"/>
    <w:bookmarkStart w:id="12" w:name="if-soft-launch-performing"/>
    <w:p>
      <w:pPr>
        <w:pStyle w:val="Heading3"/>
      </w:pPr>
      <w:r>
        <w:t xml:space="preserve">If soft launch performing</w:t>
      </w:r>
    </w:p>
    <w:p>
      <w:pPr>
        <w:pStyle w:val="FirstParagraph"/>
      </w:pPr>
      <w:r>
        <w:t xml:space="preserve">Decision gates:</w:t>
      </w:r>
    </w:p>
    <w:p>
      <w:pPr>
        <w:pStyle w:val="Compact"/>
        <w:numPr>
          <w:ilvl w:val="0"/>
          <w:numId w:val="1004"/>
        </w:numPr>
      </w:pPr>
      <w:r>
        <w:t xml:space="preserve">30-day review: CAC, CVR, payment-method mix, customer reviews</w:t>
      </w:r>
    </w:p>
    <w:p>
      <w:pPr>
        <w:pStyle w:val="Compact"/>
        <w:numPr>
          <w:ilvl w:val="0"/>
          <w:numId w:val="1004"/>
        </w:numPr>
      </w:pPr>
      <w:r>
        <w:t xml:space="preserve">60-day review: retention signal, refund rate, returns handling</w:t>
      </w:r>
    </w:p>
    <w:p>
      <w:pPr>
        <w:pStyle w:val="Compact"/>
        <w:numPr>
          <w:ilvl w:val="0"/>
          <w:numId w:val="1004"/>
        </w:numPr>
      </w:pPr>
      <w:r>
        <w:t xml:space="preserve">90-day review: scale / hold / exit decision with data</w:t>
      </w:r>
    </w:p>
    <w:bookmarkEnd w:id="12"/>
    <w:bookmarkStart w:id="13" w:name="if-scale-phase-underperforming"/>
    <w:p>
      <w:pPr>
        <w:pStyle w:val="Heading3"/>
      </w:pPr>
      <w:r>
        <w:t xml:space="preserve">If scale phase underperforming</w:t>
      </w:r>
    </w:p>
    <w:p>
      <w:pPr>
        <w:pStyle w:val="FirstParagraph"/>
      </w:pPr>
      <w:r>
        <w:t xml:space="preserve">Diagnose:</w:t>
      </w:r>
    </w:p>
    <w:p>
      <w:pPr>
        <w:pStyle w:val="Compact"/>
        <w:numPr>
          <w:ilvl w:val="0"/>
          <w:numId w:val="1005"/>
        </w:numPr>
      </w:pPr>
      <w:r>
        <w:t xml:space="preserve">Channel mix — is it the right channels for this market?</w:t>
      </w:r>
    </w:p>
    <w:p>
      <w:pPr>
        <w:pStyle w:val="Compact"/>
        <w:numPr>
          <w:ilvl w:val="0"/>
          <w:numId w:val="1005"/>
        </w:numPr>
      </w:pPr>
      <w:r>
        <w:t xml:space="preserve">Creative localization — does creative feel local or imported?</w:t>
      </w:r>
    </w:p>
    <w:p>
      <w:pPr>
        <w:pStyle w:val="Compact"/>
        <w:numPr>
          <w:ilvl w:val="0"/>
          <w:numId w:val="1005"/>
        </w:numPr>
      </w:pPr>
      <w:r>
        <w:t xml:space="preserve">Pricing — at local market premium, is willingness-to-pay present?</w:t>
      </w:r>
    </w:p>
    <w:p>
      <w:pPr>
        <w:pStyle w:val="Compact"/>
        <w:numPr>
          <w:ilvl w:val="0"/>
          <w:numId w:val="1005"/>
        </w:numPr>
      </w:pPr>
      <w:r>
        <w:t xml:space="preserve">Competitive action — has a local incumbent responded?</w:t>
      </w:r>
    </w:p>
    <w:p>
      <w:pPr>
        <w:pStyle w:val="Compact"/>
        <w:numPr>
          <w:ilvl w:val="0"/>
          <w:numId w:val="1005"/>
        </w:numPr>
      </w:pPr>
      <w:r>
        <w:t xml:space="preserve">Payment-method coverage — missing a critical local method?</w:t>
      </w:r>
    </w:p>
    <w:p>
      <w:pPr>
        <w:pStyle w:val="Compact"/>
        <w:numPr>
          <w:ilvl w:val="0"/>
          <w:numId w:val="1005"/>
        </w:numPr>
      </w:pPr>
      <w:r>
        <w:t xml:space="preserve">Customer support — language, timezone, return address adequate?</w:t>
      </w:r>
    </w:p>
    <w:bookmarkEnd w:id="13"/>
    <w:bookmarkStart w:id="14" w:name="market-review-cadence"/>
    <w:p>
      <w:pPr>
        <w:pStyle w:val="Heading3"/>
      </w:pPr>
      <w:r>
        <w:t xml:space="preserve">Market review cadence</w:t>
      </w:r>
    </w:p>
    <w:p>
      <w:pPr>
        <w:pStyle w:val="FirstParagraph"/>
      </w:pPr>
      <w:r>
        <w:t xml:space="preserve">Monthly:</w:t>
      </w:r>
    </w:p>
    <w:p>
      <w:pPr>
        <w:pStyle w:val="Compact"/>
        <w:numPr>
          <w:ilvl w:val="0"/>
          <w:numId w:val="1006"/>
        </w:numPr>
      </w:pPr>
      <w:r>
        <w:t xml:space="preserve">Performance vs. home market + vs. plan</w:t>
      </w:r>
    </w:p>
    <w:p>
      <w:pPr>
        <w:pStyle w:val="Compact"/>
        <w:numPr>
          <w:ilvl w:val="0"/>
          <w:numId w:val="1006"/>
        </w:numPr>
      </w:pPr>
      <w:r>
        <w:t xml:space="preserve">Channel mix + CAC trends</w:t>
      </w:r>
    </w:p>
    <w:p>
      <w:pPr>
        <w:pStyle w:val="Compact"/>
        <w:numPr>
          <w:ilvl w:val="0"/>
          <w:numId w:val="1006"/>
        </w:numPr>
      </w:pPr>
      <w:r>
        <w:t xml:space="preserve">Compliance + regulatory watch</w:t>
      </w:r>
    </w:p>
    <w:p>
      <w:pPr>
        <w:pStyle w:val="Compact"/>
        <w:numPr>
          <w:ilvl w:val="0"/>
          <w:numId w:val="1006"/>
        </w:numPr>
      </w:pPr>
      <w:r>
        <w:t xml:space="preserve">Customer service signal</w:t>
      </w:r>
    </w:p>
    <w:p>
      <w:pPr>
        <w:pStyle w:val="Compact"/>
        <w:numPr>
          <w:ilvl w:val="0"/>
          <w:numId w:val="1006"/>
        </w:numPr>
      </w:pPr>
      <w:r>
        <w:t xml:space="preserve">Competitive landscape updates</w:t>
      </w:r>
    </w:p>
    <w:p>
      <w:pPr>
        <w:pStyle w:val="Compact"/>
        <w:numPr>
          <w:ilvl w:val="0"/>
          <w:numId w:val="1006"/>
        </w:numPr>
      </w:pPr>
      <w:r>
        <w:t xml:space="preserve">FX impact on margin</w:t>
      </w:r>
    </w:p>
    <w:bookmarkEnd w:id="14"/>
    <w:bookmarkEnd w:id="15"/>
    <w:bookmarkStart w:id="16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ship products out of compliance window</w:t>
      </w:r>
      <w:r>
        <w:t xml:space="preserve"> </w:t>
      </w:r>
      <w:r>
        <w:t xml:space="preserve">— customs seizure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miss a VAT filing deadline</w:t>
      </w:r>
      <w:r>
        <w:t xml:space="preserve"> </w:t>
      </w:r>
      <w:r>
        <w:t xml:space="preserve">— penalties compound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assume home-market creative works locally</w:t>
      </w:r>
      <w:r>
        <w:t xml:space="preserve"> </w:t>
      </w:r>
      <w:r>
        <w:t xml:space="preserve">— localize then test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ignore returns address</w:t>
      </w:r>
      <w:r>
        <w:t xml:space="preserve"> </w:t>
      </w:r>
      <w:r>
        <w:t xml:space="preserve">— returns going back to US are expensive + slow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monitor FX impact</w:t>
      </w:r>
      <w:r>
        <w:t xml:space="preserve"> </w:t>
      </w:r>
      <w:r>
        <w:t xml:space="preserve">— 5-15% swings common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maintain local regulatory watch</w:t>
      </w:r>
      <w:r>
        <w:t xml:space="preserve"> </w:t>
      </w:r>
      <w:r>
        <w:t xml:space="preserve">— rules do change</w:t>
      </w:r>
    </w:p>
    <w:bookmarkEnd w:id="16"/>
    <w:bookmarkStart w:id="17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Compliance status</w:t>
      </w:r>
      <w:r>
        <w:br/>
      </w:r>
      <w:r>
        <w:rPr>
          <w:rStyle w:val="VerbatimChar"/>
        </w:rPr>
        <w:t xml:space="preserve">{product compliance by market}          # expect: all markets current</w:t>
      </w:r>
      <w:r>
        <w:br/>
      </w:r>
      <w:r>
        <w:br/>
      </w:r>
      <w:r>
        <w:rPr>
          <w:rStyle w:val="VerbatimChar"/>
        </w:rPr>
        <w:t xml:space="preserve"># Tax filings</w:t>
      </w:r>
      <w:r>
        <w:br/>
      </w:r>
      <w:r>
        <w:rPr>
          <w:rStyle w:val="VerbatimChar"/>
        </w:rPr>
        <w:t xml:space="preserve">{VAT / GST / consumption-tax status}    # expect: no overdue filings</w:t>
      </w:r>
      <w:r>
        <w:br/>
      </w:r>
      <w:r>
        <w:br/>
      </w:r>
      <w:r>
        <w:rPr>
          <w:rStyle w:val="VerbatimChar"/>
        </w:rPr>
        <w:t xml:space="preserve"># Local-payment coverage</w:t>
      </w:r>
      <w:r>
        <w:br/>
      </w:r>
      <w:r>
        <w:rPr>
          <w:rStyle w:val="VerbatimChar"/>
        </w:rPr>
        <w:t xml:space="preserve">{payment-method fire rate by country}   # expect: all expected methods live</w:t>
      </w:r>
      <w:r>
        <w:br/>
      </w:r>
      <w:r>
        <w:br/>
      </w:r>
      <w:r>
        <w:rPr>
          <w:rStyle w:val="VerbatimChar"/>
        </w:rPr>
        <w:t xml:space="preserve"># Market performance</w:t>
      </w:r>
      <w:r>
        <w:br/>
      </w:r>
      <w:r>
        <w:rPr>
          <w:rStyle w:val="VerbatimChar"/>
        </w:rPr>
        <w:t xml:space="preserve">{market-by-market CAC, CVR, return rate} # expect: tracked + trending</w:t>
      </w:r>
      <w:r>
        <w:br/>
      </w:r>
      <w:r>
        <w:br/>
      </w:r>
      <w:r>
        <w:rPr>
          <w:rStyle w:val="VerbatimChar"/>
        </w:rPr>
        <w:t xml:space="preserve"># FX exposure</w:t>
      </w:r>
      <w:r>
        <w:br/>
      </w:r>
      <w:r>
        <w:rPr>
          <w:rStyle w:val="VerbatimChar"/>
        </w:rPr>
        <w:t xml:space="preserve">{revenue + margin by currency}           # expect: hedge or document exposure</w:t>
      </w:r>
    </w:p>
    <w:bookmarkEnd w:id="17"/>
    <w:bookmarkStart w:id="18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Home-market team making local decisions</w:t>
      </w:r>
      <w:r>
        <w:t xml:space="preserve"> </w:t>
      </w:r>
      <w:r>
        <w:t xml:space="preserve">— cultural + regulatory blind spots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VAT filing forgotten</w:t>
      </w:r>
      <w:r>
        <w:t xml:space="preserve"> </w:t>
      </w:r>
      <w:r>
        <w:t xml:space="preserve">— small oversight, large penalty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Localization theater</w:t>
      </w:r>
      <w:r>
        <w:t xml:space="preserve"> </w:t>
      </w:r>
      <w:r>
        <w:t xml:space="preserve">— translated site but local operator isn't running creative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Exchange-rate ignorance</w:t>
      </w:r>
      <w:r>
        <w:t xml:space="preserve"> </w:t>
      </w:r>
      <w:r>
        <w:t xml:space="preserve">— margin erodes silently; discover at quarter-end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Returns logistics skipped</w:t>
      </w:r>
      <w:r>
        <w:t xml:space="preserve"> </w:t>
      </w:r>
      <w:r>
        <w:t xml:space="preserve">— hot market but return experience is terrible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 competitor response</w:t>
      </w:r>
      <w:r>
        <w:t xml:space="preserve"> </w:t>
      </w:r>
      <w:r>
        <w:t xml:space="preserve">— incumbents defend; don't underestimate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2026-04-15T22:46:41Z</dcterms:created>
  <dcterms:modified xsi:type="dcterms:W3CDTF">2026-04-15T22:46:41Z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