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5e06aac5a815b57daf4fcdfb8347c49d208eb1"/>
    <w:p>
      <w:pPr>
        <w:pStyle w:val="Heading1"/>
      </w:pPr>
      <w:r>
        <w:t xml:space="preserve">Lifecycle Program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 </w:t>
      </w:r>
      <w:r>
        <w:t xml:space="preserve">(for ESP evaluation)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researching lifecycle competitive landscape, ESP evaluation, deliverability benchmarks, SMS strategy, or retention methodology.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ESP vendor evaluation</w:t>
      </w:r>
      <w:r>
        <w:t xml:space="preserve"> </w:t>
      </w:r>
      <w:r>
        <w:t xml:space="preserve">— Klaviyo vs. Braze vs. Iterable vs. Attentive vs. Postscript vs. Omnisend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lifecycle teardown</w:t>
      </w:r>
      <w:r>
        <w:t xml:space="preserve"> </w:t>
      </w:r>
      <w:r>
        <w:t xml:space="preserve">— sign up for a competitor's list and analyze their flow architecture, offer cadence, content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 launch feasibility</w:t>
      </w:r>
      <w:r>
        <w:t xml:space="preserve"> </w:t>
      </w:r>
      <w:r>
        <w:t xml:space="preserve">— category fit, compliance complexity, expected revenue contribution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Deliverability benchmark</w:t>
      </w:r>
      <w:r>
        <w:t xml:space="preserve"> </w:t>
      </w:r>
      <w:r>
        <w:t xml:space="preserve">— by vertical, what's best-in-class inbox placement / complaint rate / unsubscribe rate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Personalization depth research</w:t>
      </w:r>
      <w:r>
        <w:t xml:space="preserve"> </w:t>
      </w:r>
      <w:r>
        <w:t xml:space="preserve">— what personalization tactics actually lift revenue/message at your scale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Subscription retention benchmarks</w:t>
      </w:r>
      <w:r>
        <w:t xml:space="preserve"> </w:t>
      </w:r>
      <w:r>
        <w:t xml:space="preserve">— monthly churn by category, win-back effectiveness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ESP-published data reports</w:t>
      </w:r>
      <w:r>
        <w:t xml:space="preserve"> </w:t>
      </w:r>
      <w:r>
        <w:t xml:space="preserve">— Klaviyo Benchmarks, Attentive State of SMS, Braze Customer Engagement Report (note: these are vendor-published; read critically)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Deliverability research firms</w:t>
      </w:r>
      <w:r>
        <w:t xml:space="preserve"> </w:t>
      </w:r>
      <w:r>
        <w:t xml:space="preserve">— Validity, Litmus, Return Path (now Validity), 250ok — actual inbox placement and consumer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Postmaster tools / research</w:t>
      </w:r>
      <w:r>
        <w:t xml:space="preserve"> </w:t>
      </w:r>
      <w:r>
        <w:t xml:space="preserve">— Gmail postmaster blog, Microsoft's postmaster guidance, Yahoo sender hub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voice on Klaviyo / Attentive / Braze communities</w:t>
      </w:r>
      <w:r>
        <w:t xml:space="preserve"> </w:t>
      </w:r>
      <w:r>
        <w:t xml:space="preserve">— real practitioner benchmarks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Industry reports</w:t>
      </w:r>
      <w:r>
        <w:t xml:space="preserve"> </w:t>
      </w:r>
      <w:r>
        <w:t xml:space="preserve">— MessageBird, Twilio State of Customer Engagement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sources</w:t>
      </w:r>
      <w:r>
        <w:t xml:space="preserve"> </w:t>
      </w:r>
      <w:r>
        <w:t xml:space="preserve">— FTC guidance (CAN-SPAM), state AG actions (TCPA), EU DPA guidance (GDPR)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ESP-sales-led "case studies" (treat as marketing)</w:t>
      </w:r>
    </w:p>
    <w:p>
      <w:pPr>
        <w:pStyle w:val="Compact"/>
        <w:numPr>
          <w:ilvl w:val="0"/>
          <w:numId w:val="1003"/>
        </w:numPr>
      </w:pPr>
      <w:r>
        <w:t xml:space="preserve">Generic lifecycle blog content</w:t>
      </w:r>
    </w:p>
    <w:p>
      <w:pPr>
        <w:pStyle w:val="Compact"/>
        <w:numPr>
          <w:ilvl w:val="0"/>
          <w:numId w:val="1003"/>
        </w:numPr>
      </w:pPr>
      <w:r>
        <w:t xml:space="preserve">Influencer-marketer content on "how to write emails that convert"</w:t>
      </w:r>
    </w:p>
    <w:bookmarkEnd w:id="10"/>
    <w:bookmarkStart w:id="14" w:name="question-set-specializations"/>
    <w:p>
      <w:pPr>
        <w:pStyle w:val="Heading2"/>
      </w:pPr>
      <w:r>
        <w:t xml:space="preserve">Question-set specializations</w:t>
      </w:r>
    </w:p>
    <w:bookmarkStart w:id="11" w:name="for-esp-vendor-evaluation"/>
    <w:p>
      <w:pPr>
        <w:pStyle w:val="Heading3"/>
      </w:pPr>
      <w:r>
        <w:t xml:space="preserve">For ESP vendor evaluation:</w:t>
      </w:r>
    </w:p>
    <w:p>
      <w:pPr>
        <w:pStyle w:val="Compact"/>
        <w:numPr>
          <w:ilvl w:val="0"/>
          <w:numId w:val="1004"/>
        </w:numPr>
      </w:pPr>
      <w:r>
        <w:t xml:space="preserve">Feature comparison — segmentation, flow builder, A/B, SMS, personalization, predictive</w:t>
      </w:r>
    </w:p>
    <w:p>
      <w:pPr>
        <w:pStyle w:val="Compact"/>
        <w:numPr>
          <w:ilvl w:val="0"/>
          <w:numId w:val="1004"/>
        </w:numPr>
      </w:pPr>
      <w:r>
        <w:t xml:space="preserve">Integration depth — Shopify / other ecom / warehouse / reviews / returns / support</w:t>
      </w:r>
    </w:p>
    <w:p>
      <w:pPr>
        <w:pStyle w:val="Compact"/>
        <w:numPr>
          <w:ilvl w:val="0"/>
          <w:numId w:val="1004"/>
        </w:numPr>
      </w:pPr>
      <w:r>
        <w:t xml:space="preserve">Pricing — list-size tier + SMS add-on + advanced features</w:t>
      </w:r>
    </w:p>
    <w:p>
      <w:pPr>
        <w:pStyle w:val="Compact"/>
        <w:numPr>
          <w:ilvl w:val="0"/>
          <w:numId w:val="1004"/>
        </w:numPr>
      </w:pPr>
      <w:r>
        <w:t xml:space="preserve">Migration cost — flow export format, segment logic portability, list hygiene preservation</w:t>
      </w:r>
    </w:p>
    <w:p>
      <w:pPr>
        <w:pStyle w:val="Compact"/>
        <w:numPr>
          <w:ilvl w:val="0"/>
          <w:numId w:val="1004"/>
        </w:numPr>
      </w:pPr>
      <w:r>
        <w:t xml:space="preserve">Support quality — operator community reports, tier SLAs</w:t>
      </w:r>
    </w:p>
    <w:p>
      <w:pPr>
        <w:pStyle w:val="Compact"/>
        <w:numPr>
          <w:ilvl w:val="0"/>
          <w:numId w:val="1004"/>
        </w:numPr>
      </w:pPr>
      <w:r>
        <w:t xml:space="preserve">Compliance — SOC 2, GDPR-ready, CCPA, HIPAA if needed</w:t>
      </w:r>
    </w:p>
    <w:p>
      <w:pPr>
        <w:pStyle w:val="Compact"/>
        <w:numPr>
          <w:ilvl w:val="0"/>
          <w:numId w:val="1004"/>
        </w:numPr>
      </w:pPr>
      <w:r>
        <w:t xml:space="preserve">Scale ceiling — list size and send rate where vendor starts pushing enterprise</w:t>
      </w:r>
    </w:p>
    <w:p>
      <w:pPr>
        <w:pStyle w:val="Compact"/>
        <w:numPr>
          <w:ilvl w:val="0"/>
          <w:numId w:val="1004"/>
        </w:numPr>
      </w:pPr>
      <w:r>
        <w:t xml:space="preserve">Vendor health — funding, retention, product cadence</w:t>
      </w:r>
    </w:p>
    <w:bookmarkEnd w:id="11"/>
    <w:bookmarkStart w:id="12" w:name="for-competitive-lifecycle-teardown"/>
    <w:p>
      <w:pPr>
        <w:pStyle w:val="Heading3"/>
      </w:pPr>
      <w:r>
        <w:t xml:space="preserve">For competitive lifecycle teardown:</w:t>
      </w:r>
    </w:p>
    <w:p>
      <w:pPr>
        <w:pStyle w:val="Compact"/>
        <w:numPr>
          <w:ilvl w:val="0"/>
          <w:numId w:val="1005"/>
        </w:numPr>
      </w:pPr>
      <w:r>
        <w:t xml:space="preserve">Welcome flow structure — how many emails, what cadence, what offers, what narrative?</w:t>
      </w:r>
    </w:p>
    <w:p>
      <w:pPr>
        <w:pStyle w:val="Compact"/>
        <w:numPr>
          <w:ilvl w:val="0"/>
          <w:numId w:val="1005"/>
        </w:numPr>
      </w:pPr>
      <w:r>
        <w:t xml:space="preserve">Cart recovery — how many touches, T+ timing, SMS included?</w:t>
      </w:r>
    </w:p>
    <w:p>
      <w:pPr>
        <w:pStyle w:val="Compact"/>
        <w:numPr>
          <w:ilvl w:val="0"/>
          <w:numId w:val="1005"/>
        </w:numPr>
      </w:pPr>
      <w:r>
        <w:t xml:space="preserve">Post-purchase sequence — review request cadence, replenishment, cross-sell?</w:t>
      </w:r>
    </w:p>
    <w:p>
      <w:pPr>
        <w:pStyle w:val="Compact"/>
        <w:numPr>
          <w:ilvl w:val="0"/>
          <w:numId w:val="1005"/>
        </w:numPr>
      </w:pPr>
      <w:r>
        <w:t xml:space="preserve">Content calendar cadence — how often do they send campaigns, what mix of offer vs. content?</w:t>
      </w:r>
    </w:p>
    <w:p>
      <w:pPr>
        <w:pStyle w:val="Compact"/>
        <w:numPr>
          <w:ilvl w:val="0"/>
          <w:numId w:val="1005"/>
        </w:numPr>
      </w:pPr>
      <w:r>
        <w:t xml:space="preserve">SMS integration — if they SMS, at what consent architecture and frequency?</w:t>
      </w:r>
    </w:p>
    <w:p>
      <w:pPr>
        <w:pStyle w:val="Compact"/>
        <w:numPr>
          <w:ilvl w:val="0"/>
          <w:numId w:val="1005"/>
        </w:numPr>
      </w:pPr>
      <w:r>
        <w:t xml:space="preserve">Personalization depth — names, locations, product categories, browsed items?</w:t>
      </w:r>
    </w:p>
    <w:p>
      <w:pPr>
        <w:pStyle w:val="Compact"/>
        <w:numPr>
          <w:ilvl w:val="0"/>
          <w:numId w:val="1005"/>
        </w:numPr>
      </w:pPr>
      <w:r>
        <w:t xml:space="preserve">Brand voice consistency — flow vs. campaign voice aligned?</w:t>
      </w:r>
    </w:p>
    <w:p>
      <w:pPr>
        <w:pStyle w:val="Compact"/>
        <w:numPr>
          <w:ilvl w:val="0"/>
          <w:numId w:val="1005"/>
        </w:numPr>
      </w:pPr>
      <w:r>
        <w:t xml:space="preserve">Unsubscribe experience — preference center or hard opt-out?</w:t>
      </w:r>
    </w:p>
    <w:bookmarkEnd w:id="12"/>
    <w:bookmarkStart w:id="13" w:name="for-sms-launch-feasibility"/>
    <w:p>
      <w:pPr>
        <w:pStyle w:val="Heading3"/>
      </w:pPr>
      <w:r>
        <w:t xml:space="preserve">For SMS launch feasibility:</w:t>
      </w:r>
    </w:p>
    <w:p>
      <w:pPr>
        <w:pStyle w:val="Compact"/>
        <w:numPr>
          <w:ilvl w:val="0"/>
          <w:numId w:val="1006"/>
        </w:numPr>
      </w:pPr>
      <w:r>
        <w:t xml:space="preserve">Category norms — is SMS standard in your vertical? (skincare yes, B2B SaaS rarely)</w:t>
      </w:r>
    </w:p>
    <w:p>
      <w:pPr>
        <w:pStyle w:val="Compact"/>
        <w:numPr>
          <w:ilvl w:val="0"/>
          <w:numId w:val="1006"/>
        </w:numPr>
      </w:pPr>
      <w:r>
        <w:t xml:space="preserve">Consent complexity — US TCPA (express written) vs. EU (already-email-opted-in not sufficient, need SMS-specific)</w:t>
      </w:r>
    </w:p>
    <w:p>
      <w:pPr>
        <w:pStyle w:val="Compact"/>
        <w:numPr>
          <w:ilvl w:val="0"/>
          <w:numId w:val="1006"/>
        </w:numPr>
      </w:pPr>
      <w:r>
        <w:t xml:space="preserve">Average revenue/SMS benchmarks for your category (Klaviyo / Attentive publish by vertical)</w:t>
      </w:r>
    </w:p>
    <w:p>
      <w:pPr>
        <w:pStyle w:val="Compact"/>
        <w:numPr>
          <w:ilvl w:val="0"/>
          <w:numId w:val="1006"/>
        </w:numPr>
      </w:pPr>
      <w:r>
        <w:t xml:space="preserve">Complaint rate risk — SMS complaints carry larger legal weight than email</w:t>
      </w:r>
    </w:p>
    <w:p>
      <w:pPr>
        <w:pStyle w:val="Compact"/>
        <w:numPr>
          <w:ilvl w:val="0"/>
          <w:numId w:val="1006"/>
        </w:numPr>
      </w:pPr>
      <w:r>
        <w:t xml:space="preserve">Content constraints — 160 character limit (SMS) vs. 1600 (MMS); link-shorteners flag as spam</w:t>
      </w:r>
    </w:p>
    <w:p>
      <w:pPr>
        <w:pStyle w:val="Compact"/>
        <w:numPr>
          <w:ilvl w:val="0"/>
          <w:numId w:val="1006"/>
        </w:numPr>
      </w:pPr>
      <w:r>
        <w:t xml:space="preserve">Send time restrictions — TCPA 8am-9pm recipient local time enforcement</w:t>
      </w:r>
    </w:p>
    <w:p>
      <w:pPr>
        <w:pStyle w:val="Compact"/>
        <w:numPr>
          <w:ilvl w:val="0"/>
          <w:numId w:val="1006"/>
        </w:numPr>
      </w:pPr>
      <w:r>
        <w:t xml:space="preserve">Subscription incentive — opt-in offer benchmarks by vertical</w:t>
      </w:r>
    </w:p>
    <w:p>
      <w:pPr>
        <w:pStyle w:val="Compact"/>
        <w:numPr>
          <w:ilvl w:val="0"/>
          <w:numId w:val="1006"/>
        </w:numPr>
      </w:pPr>
      <w:r>
        <w:t xml:space="preserve">Deliverability differences — SMS carriers filter differently; carrier-specific opt-in health</w:t>
      </w:r>
    </w:p>
    <w:bookmarkEnd w:id="13"/>
    <w:bookmarkEnd w:id="14"/>
    <w:bookmarkStart w:id="15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7"/>
        </w:numPr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{{KNOWLEDGE_BASE_ROOT}}/retail-sales-enablement/</w:t>
      </w:r>
      <w:r>
        <w:t xml:space="preserve"> </w:t>
      </w:r>
      <w:r>
        <w:t xml:space="preserve">for retention and customer-experience context</w:t>
      </w:r>
    </w:p>
    <w:bookmarkEnd w:id="15"/>
    <w:bookmarkStart w:id="16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8"/>
        </w:numPr>
      </w:pPr>
      <w:r>
        <w:t xml:space="preserve">"Evaluate Klaviyo vs. Attentive vs. Postscript for a $50M DTC brand adding SMS to existing Klaviyo — cost model, migration effort, feature parity"</w:t>
      </w:r>
    </w:p>
    <w:p>
      <w:pPr>
        <w:pStyle w:val="Compact"/>
        <w:numPr>
          <w:ilvl w:val="0"/>
          <w:numId w:val="1008"/>
        </w:numPr>
      </w:pPr>
      <w:r>
        <w:t xml:space="preserve">"Research lifecycle strategy at 5 premium coffee subscription brands: Blue Bottle, Trade Coffee, Atlas Coffee, Driftaway, Bean Box — flow architecture, SMS adoption, win-back tactics"</w:t>
      </w:r>
    </w:p>
    <w:p>
      <w:pPr>
        <w:pStyle w:val="Compact"/>
        <w:numPr>
          <w:ilvl w:val="0"/>
          <w:numId w:val="1008"/>
        </w:numPr>
      </w:pPr>
      <w:r>
        <w:t xml:space="preserve">"Research deliverability benchmarks for ecommerce senders 500K-2M list size — what's Gmail primary inbox placement, complaint rate, unsubscribe rate best-in-class vs. median?"</w:t>
      </w:r>
    </w:p>
    <w:p>
      <w:pPr>
        <w:pStyle w:val="Compact"/>
        <w:numPr>
          <w:ilvl w:val="0"/>
          <w:numId w:val="1008"/>
        </w:numPr>
      </w:pPr>
      <w:r>
        <w:t xml:space="preserve">"Research Klaviyo Predictive Analytics + Segmentation 2025 feature set and compare to Braze Intelligent Journeys / Iterable AI — does predictive actually lift revenue per message in real data, or is it theater?"</w:t>
      </w:r>
    </w:p>
    <w:p>
      <w:pPr>
        <w:pStyle w:val="Compact"/>
        <w:numPr>
          <w:ilvl w:val="0"/>
          <w:numId w:val="1008"/>
        </w:numPr>
      </w:pPr>
      <w:r>
        <w:t xml:space="preserve">"Research SMS compliance requirements across US (TCPA), EU (GDPR + member-state variations), Canada (CASL), UK (PECR) for a multi-region DTC launch"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2026-04-15T22:46:40Z</dcterms:created>
  <dcterms:modified xsi:type="dcterms:W3CDTF">2026-04-15T22:46:40Z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