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id-media-program--resumption"/>
    <w:p>
      <w:pPr>
        <w:pStyle w:val="Heading1"/>
      </w:pPr>
      <w:r>
        <w:t xml:space="preserve">Paid Media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sessions 2+ of a paid-media program bootstrapped with</w:t>
      </w:r>
      <w:r>
        <w:t xml:space="preserve"> </w:t>
      </w:r>
      <w:r>
        <w:rPr>
          <w:rStyle w:val="VerbatimChar"/>
        </w:rPr>
        <w:t xml:space="preserve">paid-media/bootstrap.md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domain-specific-session-scope-examples"/>
    <w:p>
      <w:pPr>
        <w:pStyle w:val="Heading2"/>
      </w:pPr>
      <w:r>
        <w:t xml:space="preserve">Domain-specific session scope examples</w:t>
      </w:r>
    </w:p>
    <w:p>
      <w:pPr>
        <w:pStyle w:val="Compact"/>
        <w:numPr>
          <w:ilvl w:val="0"/>
          <w:numId w:val="1001"/>
        </w:numPr>
      </w:pPr>
      <w:r>
        <w:t xml:space="preserve">"Creative test readout + next-wave brief"</w:t>
      </w:r>
    </w:p>
    <w:p>
      <w:pPr>
        <w:pStyle w:val="Compact"/>
        <w:numPr>
          <w:ilvl w:val="0"/>
          <w:numId w:val="1001"/>
        </w:numPr>
      </w:pPr>
      <w:r>
        <w:t xml:space="preserve">"Audience expansion test launch"</w:t>
      </w:r>
    </w:p>
    <w:p>
      <w:pPr>
        <w:pStyle w:val="Compact"/>
        <w:numPr>
          <w:ilvl w:val="0"/>
          <w:numId w:val="1001"/>
        </w:numPr>
      </w:pPr>
      <w:r>
        <w:t xml:space="preserve">"Scale ladder decision on winning creative"</w:t>
      </w:r>
    </w:p>
    <w:p>
      <w:pPr>
        <w:pStyle w:val="Compact"/>
        <w:numPr>
          <w:ilvl w:val="0"/>
          <w:numId w:val="1001"/>
        </w:numPr>
      </w:pPr>
      <w:r>
        <w:t xml:space="preserve">"MER decline diagnosis"</w:t>
      </w:r>
    </w:p>
    <w:p>
      <w:pPr>
        <w:pStyle w:val="Compact"/>
        <w:numPr>
          <w:ilvl w:val="0"/>
          <w:numId w:val="1001"/>
        </w:numPr>
      </w:pPr>
      <w:r>
        <w:t xml:space="preserve">"Account restructure phase 2"</w:t>
      </w:r>
    </w:p>
    <w:p>
      <w:pPr>
        <w:pStyle w:val="FirstParagraph"/>
      </w:pPr>
      <w:r>
        <w:t xml:space="preserve">If your session scope falls outside these, stop and ask whether this should be a different session type or a fresh project.</w:t>
      </w:r>
    </w:p>
    <w:bookmarkEnd w:id="9"/>
    <w:bookmarkStart w:id="10" w:name="Xaeeb9f2b7fe2e215681031ce05434ed9ea5846e"/>
    <w:p>
      <w:pPr>
        <w:pStyle w:val="Heading2"/>
      </w:pPr>
      <w:r>
        <w:t xml:space="preserve">Domain-specific blocker questions (routing-changing)</w:t>
      </w:r>
    </w:p>
    <w:p>
      <w:pPr>
        <w:pStyle w:val="FirstParagraph"/>
      </w:pPr>
      <w:r>
        <w:t xml:space="preserve">Add to master Step 3: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the MMM refresh complete for this quarter?</w:t>
      </w:r>
      <w:r>
        <w:t xml:space="preserve"> </w:t>
      </w:r>
      <w:r>
        <w:t xml:space="preserve">If no → budget-allocation decisions must wait; work on creative/audience tests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Did the current creative test complete its learning phase?</w:t>
      </w:r>
      <w:r>
        <w:t xml:space="preserve"> </w:t>
      </w:r>
      <w:r>
        <w:t xml:space="preserve">If no → scaling or killing decisions are premature; wait for ≥50 conv/7d.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Are there any platform policy flags or account restrictions active?</w:t>
      </w:r>
      <w:r>
        <w:t xml:space="preserve"> </w:t>
      </w:r>
      <w:r>
        <w:t xml:space="preserve">If yes → resolve before any new creative launches; content strikes compound.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there a live incrementality test running?</w:t>
      </w:r>
      <w:r>
        <w:t xml:space="preserve"> </w:t>
      </w:r>
      <w:r>
        <w:t xml:space="preserve">If yes → do not change spend levels or campaign structure; wait for test conclusion.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Q4 / Prime Day / category-seasonal moment approaching in next 30 days?</w:t>
      </w:r>
      <w:r>
        <w:t xml:space="preserve"> </w:t>
      </w:r>
      <w:r>
        <w:t xml:space="preserve">If yes → lock structure 14+ days before; no experiments in peak.</w:t>
      </w:r>
    </w:p>
    <w:bookmarkEnd w:id="10"/>
    <w:bookmarkStart w:id="15" w:name="domain-specific-ranked-work-patterns"/>
    <w:p>
      <w:pPr>
        <w:pStyle w:val="Heading2"/>
      </w:pPr>
      <w:r>
        <w:t xml:space="preserve">Domain-specific ranked work patterns</w:t>
      </w:r>
    </w:p>
    <w:bookmarkStart w:id="11" w:name="if-mmm-is-fresh--tests-completed"/>
    <w:p>
      <w:pPr>
        <w:pStyle w:val="Heading3"/>
      </w:pPr>
      <w:r>
        <w:t xml:space="preserve">If MMM is fresh + tests completed</w:t>
      </w:r>
    </w:p>
    <w:p>
      <w:pPr>
        <w:pStyle w:val="FirstParagraph"/>
      </w:pPr>
      <w:r>
        <w:t xml:space="preserve">Scale ladder decisions on winners; audience expansion on validated creatives.</w:t>
      </w:r>
    </w:p>
    <w:bookmarkEnd w:id="11"/>
    <w:bookmarkStart w:id="12" w:name="if-creative-test-is-mid-flight"/>
    <w:p>
      <w:pPr>
        <w:pStyle w:val="Heading3"/>
      </w:pPr>
      <w:r>
        <w:t xml:space="preserve">If creative test is mid-flight</w:t>
      </w:r>
    </w:p>
    <w:p>
      <w:pPr>
        <w:pStyle w:val="FirstParagraph"/>
      </w:pPr>
      <w:r>
        <w:t xml:space="preserve">No scale decisions. Creative production for next wave; documentation of hypotheses; prep for readout.</w:t>
      </w:r>
    </w:p>
    <w:bookmarkEnd w:id="12"/>
    <w:bookmarkStart w:id="13" w:name="if-mer-has-declined-suddenly"/>
    <w:p>
      <w:pPr>
        <w:pStyle w:val="Heading3"/>
      </w:pPr>
      <w:r>
        <w:t xml:space="preserve">If MER has declined suddenly</w:t>
      </w:r>
    </w:p>
    <w:p>
      <w:pPr>
        <w:pStyle w:val="FirstParagraph"/>
      </w:pPr>
      <w:r>
        <w:t xml:space="preserve">Drop other work. Diagnosis protocol:</w:t>
      </w:r>
    </w:p>
    <w:p>
      <w:pPr>
        <w:pStyle w:val="Compact"/>
        <w:numPr>
          <w:ilvl w:val="0"/>
          <w:numId w:val="1003"/>
        </w:numPr>
      </w:pPr>
      <w:r>
        <w:t xml:space="preserve">Check pixel / attribution integrity (is the measurement broken?)</w:t>
      </w:r>
    </w:p>
    <w:p>
      <w:pPr>
        <w:pStyle w:val="Compact"/>
        <w:numPr>
          <w:ilvl w:val="0"/>
          <w:numId w:val="1003"/>
        </w:numPr>
      </w:pPr>
      <w:r>
        <w:t xml:space="preserve">Check creative fatigue (frequency cap hit? Creative &gt;30 days old?)</w:t>
      </w:r>
    </w:p>
    <w:p>
      <w:pPr>
        <w:pStyle w:val="Compact"/>
        <w:numPr>
          <w:ilvl w:val="0"/>
          <w:numId w:val="1003"/>
        </w:numPr>
      </w:pPr>
      <w:r>
        <w:t xml:space="preserve">Check audience saturation (CPM trend? new vs. returning mix?)</w:t>
      </w:r>
    </w:p>
    <w:p>
      <w:pPr>
        <w:pStyle w:val="Compact"/>
        <w:numPr>
          <w:ilvl w:val="0"/>
          <w:numId w:val="1003"/>
        </w:numPr>
      </w:pPr>
      <w:r>
        <w:t xml:space="preserve">Check competitor action (ad library scan; new entrant?)</w:t>
      </w:r>
    </w:p>
    <w:p>
      <w:pPr>
        <w:pStyle w:val="Compact"/>
        <w:numPr>
          <w:ilvl w:val="0"/>
          <w:numId w:val="1003"/>
        </w:numPr>
      </w:pPr>
      <w:r>
        <w:t xml:space="preserve">Check seasonality (comp to same period last year)</w:t>
      </w:r>
    </w:p>
    <w:p>
      <w:pPr>
        <w:pStyle w:val="FirstParagraph"/>
      </w:pPr>
      <w:r>
        <w:t xml:space="preserve">Do not scale during a decline. Diagnose → stabilize → then scale.</w:t>
      </w:r>
    </w:p>
    <w:bookmarkEnd w:id="13"/>
    <w:bookmarkStart w:id="14" w:name="if-account-is-in-violation--restriction"/>
    <w:p>
      <w:pPr>
        <w:pStyle w:val="Heading3"/>
      </w:pPr>
      <w:r>
        <w:t xml:space="preserve">If account is in violation / restriction</w:t>
      </w:r>
    </w:p>
    <w:p>
      <w:pPr>
        <w:pStyle w:val="FirstParagraph"/>
      </w:pPr>
      <w:r>
        <w:t xml:space="preserve">Account health work takes priority over everything else. A banned account destroys the program.</w:t>
      </w:r>
    </w:p>
    <w:bookmarkEnd w:id="14"/>
    <w:bookmarkEnd w:id="15"/>
    <w:bookmarkStart w:id="16" w:name="Xe0769ebf632e86c3e63a2f9cdb69fafbdcd8c7a"/>
    <w:p>
      <w:pPr>
        <w:pStyle w:val="Heading2"/>
      </w:pPr>
      <w:r>
        <w:t xml:space="preserve">Domain-specific working protocol (adds to master Step 5 universal rules)</w:t>
      </w:r>
    </w:p>
    <w:p>
      <w:pPr>
        <w:pStyle w:val="FirstParagraph"/>
      </w:pPr>
      <w:r>
        <w:rPr>
          <w:b/>
          <w:bCs/>
        </w:rPr>
        <w:t xml:space="preserve">Sacred rules</w:t>
      </w:r>
      <w:r>
        <w:t xml:space="preserve"> </w:t>
      </w:r>
      <w:r>
        <w:t xml:space="preserve">— violate these and the program degrades: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Never toggle a campaign during learning phase.</w:t>
      </w:r>
      <w:r>
        <w:t xml:space="preserve"> </w:t>
      </w:r>
      <w:r>
        <w:t xml:space="preserve">Signals reset; previous spend wasted.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Never scale &gt;20% in 72h.</w:t>
      </w:r>
      <w:r>
        <w:t xml:space="preserve"> </w:t>
      </w:r>
      <w:r>
        <w:t xml:space="preserve">Triggers re-learning; CAC spikes.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Never run more than 1 structural change per campaign per week.</w:t>
      </w:r>
      <w:r>
        <w:t xml:space="preserve"> </w:t>
      </w:r>
      <w:r>
        <w:t xml:space="preserve">Attribution becomes impossible.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Never cut a test &lt;2 weeks old</w:t>
      </w:r>
      <w:r>
        <w:t xml:space="preserve"> </w:t>
      </w:r>
      <w:r>
        <w:t xml:space="preserve">unless it's a visible fraud / policy issue. Insufficient signal.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Never change attribution settings mid-test.</w:t>
      </w:r>
      <w:r>
        <w:t xml:space="preserve"> </w:t>
      </w:r>
      <w:r>
        <w:t xml:space="preserve">Invalidates the test retroactively.</w:t>
      </w:r>
    </w:p>
    <w:p>
      <w:pPr>
        <w:pStyle w:val="FirstParagraph"/>
      </w:pPr>
      <w:r>
        <w:rPr>
          <w:b/>
          <w:bCs/>
        </w:rPr>
        <w:t xml:space="preserve">Decision discipline:</w:t>
      </w:r>
    </w:p>
    <w:p>
      <w:pPr>
        <w:pStyle w:val="Compact"/>
        <w:numPr>
          <w:ilvl w:val="0"/>
          <w:numId w:val="1005"/>
        </w:numPr>
      </w:pPr>
      <w:r>
        <w:t xml:space="preserve">Every test has a written hypothesis in</w:t>
      </w:r>
      <w:r>
        <w:t xml:space="preserve"> </w:t>
      </w:r>
      <w:r>
        <w:rPr>
          <w:rStyle w:val="VerbatimChar"/>
        </w:rPr>
        <w:t xml:space="preserve">Documentation.md</w:t>
      </w:r>
      <w:r>
        <w:t xml:space="preserve"> </w:t>
      </w:r>
      <w:r>
        <w:t xml:space="preserve">before launch</w:t>
      </w:r>
    </w:p>
    <w:p>
      <w:pPr>
        <w:pStyle w:val="Compact"/>
        <w:numPr>
          <w:ilvl w:val="0"/>
          <w:numId w:val="1005"/>
        </w:numPr>
      </w:pPr>
      <w:r>
        <w:t xml:space="preserve">Every kill / scale / continue decision references the hypothesis</w:t>
      </w:r>
    </w:p>
    <w:p>
      <w:pPr>
        <w:pStyle w:val="Compact"/>
        <w:numPr>
          <w:ilvl w:val="0"/>
          <w:numId w:val="1005"/>
        </w:numPr>
      </w:pPr>
      <w:r>
        <w:t xml:space="preserve">Every scaling decision checks blended MER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platform ROAS</w:t>
      </w:r>
    </w:p>
    <w:p>
      <w:pPr>
        <w:pStyle w:val="Compact"/>
        <w:numPr>
          <w:ilvl w:val="0"/>
          <w:numId w:val="1005"/>
        </w:numPr>
      </w:pPr>
      <w:r>
        <w:t xml:space="preserve">Every channel allocation change cross-references MMM refresh date — if &gt;30 days old, flag as caveat</w:t>
      </w:r>
    </w:p>
    <w:p>
      <w:pPr>
        <w:pStyle w:val="FirstParagraph"/>
      </w:pPr>
      <w:r>
        <w:rPr>
          <w:b/>
          <w:bCs/>
        </w:rPr>
        <w:t xml:space="preserve">Measurement discipline:</w:t>
      </w:r>
    </w:p>
    <w:p>
      <w:pPr>
        <w:pStyle w:val="Compact"/>
        <w:numPr>
          <w:ilvl w:val="0"/>
          <w:numId w:val="1006"/>
        </w:numPr>
      </w:pPr>
      <w:r>
        <w:t xml:space="preserve">Blended MER first, platform ROAS second, model-attributed third</w:t>
      </w:r>
    </w:p>
    <w:p>
      <w:pPr>
        <w:pStyle w:val="Compact"/>
        <w:numPr>
          <w:ilvl w:val="0"/>
          <w:numId w:val="1006"/>
        </w:numPr>
      </w:pPr>
      <w:r>
        <w:t xml:space="preserve">Conversion match rate check weekly (platform vs. GA4 vs. Northbeam vs. bank) — alert if &gt;15% delta</w:t>
      </w:r>
    </w:p>
    <w:p>
      <w:pPr>
        <w:pStyle w:val="Compact"/>
        <w:numPr>
          <w:ilvl w:val="0"/>
          <w:numId w:val="1006"/>
        </w:numPr>
      </w:pPr>
      <w:r>
        <w:t xml:space="preserve">Pixel / CAPI health check weekly</w:t>
      </w:r>
    </w:p>
    <w:p>
      <w:pPr>
        <w:pStyle w:val="Compact"/>
        <w:numPr>
          <w:ilvl w:val="0"/>
          <w:numId w:val="1006"/>
        </w:numPr>
      </w:pPr>
      <w:r>
        <w:t xml:space="preserve">Attribution-window documented on every readout</w:t>
      </w:r>
    </w:p>
    <w:bookmarkEnd w:id="16"/>
    <w:bookmarkStart w:id="17" w:name="Xf89ab26cfeaf99836fba3ddc6563b4ec8e43372"/>
    <w:p>
      <w:pPr>
        <w:pStyle w:val="Heading2"/>
      </w:pPr>
      <w:r>
        <w:t xml:space="preserve">Domain-specific Step 2 verification commands</w:t>
      </w:r>
    </w:p>
    <w:p>
      <w:pPr>
        <w:pStyle w:val="SourceCode"/>
      </w:pPr>
      <w:r>
        <w:rPr>
          <w:rStyle w:val="VerbatimChar"/>
        </w:rPr>
        <w:t xml:space="preserve"># MER dashboard freshness</w:t>
      </w:r>
      <w:r>
        <w:br/>
      </w:r>
      <w:r>
        <w:rPr>
          <w:rStyle w:val="VerbatimChar"/>
        </w:rPr>
        <w:t xml:space="preserve">{check dashboard last-refresh timestamp} # expect: &lt;24h ago</w:t>
      </w:r>
      <w:r>
        <w:br/>
      </w:r>
      <w:r>
        <w:br/>
      </w:r>
      <w:r>
        <w:rPr>
          <w:rStyle w:val="VerbatimChar"/>
        </w:rPr>
        <w:t xml:space="preserve"># Pixel fire check</w:t>
      </w:r>
      <w:r>
        <w:br/>
      </w:r>
      <w:r>
        <w:rPr>
          <w:rStyle w:val="VerbatimChar"/>
        </w:rPr>
        <w:t xml:space="preserve">{platform pixel-health tool output} # expect: firing + de-duplicated</w:t>
      </w:r>
      <w:r>
        <w:br/>
      </w:r>
      <w:r>
        <w:br/>
      </w:r>
      <w:r>
        <w:rPr>
          <w:rStyle w:val="VerbatimChar"/>
        </w:rPr>
        <w:t xml:space="preserve"># Conversion match rate</w:t>
      </w:r>
      <w:r>
        <w:br/>
      </w:r>
      <w:r>
        <w:rPr>
          <w:rStyle w:val="VerbatimChar"/>
        </w:rPr>
        <w:t xml:space="preserve">{daily revenue query across 4 sources} # expect: within ±15%</w:t>
      </w:r>
      <w:r>
        <w:br/>
      </w:r>
      <w:r>
        <w:br/>
      </w:r>
      <w:r>
        <w:rPr>
          <w:rStyle w:val="VerbatimChar"/>
        </w:rPr>
        <w:t xml:space="preserve"># Budget pacing</w:t>
      </w:r>
      <w:r>
        <w:br/>
      </w:r>
      <w:r>
        <w:rPr>
          <w:rStyle w:val="VerbatimChar"/>
        </w:rPr>
        <w:t xml:space="preserve">{weekly spend vs. budget query} # expect: within ±10% target</w:t>
      </w:r>
      <w:r>
        <w:br/>
      </w:r>
      <w:r>
        <w:br/>
      </w:r>
      <w:r>
        <w:rPr>
          <w:rStyle w:val="VerbatimChar"/>
        </w:rPr>
        <w:t xml:space="preserve"># Account health</w:t>
      </w:r>
      <w:r>
        <w:br/>
      </w:r>
      <w:r>
        <w:rPr>
          <w:rStyle w:val="VerbatimChar"/>
        </w:rPr>
        <w:t xml:space="preserve">{platform account health check} # expect: no active restrictions</w:t>
      </w:r>
    </w:p>
    <w:bookmarkEnd w:id="17"/>
    <w:bookmarkStart w:id="18" w:name="kb-integration-reminders"/>
    <w:p>
      <w:pPr>
        <w:pStyle w:val="Heading2"/>
      </w:pPr>
      <w:r>
        <w:t xml:space="preserve">KB integration reminders</w:t>
      </w:r>
    </w:p>
    <w:p>
      <w:pPr>
        <w:pStyle w:val="FirstParagraph"/>
      </w:pPr>
      <w:r>
        <w:t xml:space="preserve">Before any significant channel-allocation decision, read: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 relevant section for this decision type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{{KNOWLEDGE_BASE_ROOT}}/amazon-ads/wiki/_index.md</w:t>
      </w:r>
      <w:r>
        <w:t xml:space="preserve"> </w:t>
      </w:r>
      <w:r>
        <w:t xml:space="preserve">— if Amazon is in the mix</w:t>
      </w:r>
    </w:p>
    <w:p>
      <w:pPr>
        <w:pStyle w:val="FirstParagraph"/>
      </w:pPr>
      <w:r>
        <w:t xml:space="preserve">Before any creative strategy decision: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{{KNOWLEDGE_BASE_ROOT}}/product-research-and-competitive-intelligence/wiki/</w:t>
      </w:r>
      <w:r>
        <w:t xml:space="preserve"> </w:t>
      </w:r>
      <w:r>
        <w:t xml:space="preserve">— for competitor creative benchmarks</w:t>
      </w:r>
    </w:p>
    <w:bookmarkEnd w:id="18"/>
    <w:bookmarkStart w:id="19" w:name="common-drift-patterns-to-watch-for"/>
    <w:p>
      <w:pPr>
        <w:pStyle w:val="Heading2"/>
      </w:pPr>
      <w:r>
        <w:t xml:space="preserve">Common drift patterns to watch for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Scope creep into lifecycle / CRO</w:t>
      </w:r>
      <w:r>
        <w:t xml:space="preserve"> </w:t>
      </w:r>
      <w:r>
        <w:t xml:space="preserve">— these are different programs. If paid-media data suggests lifecycle or CRO work, document as a cross-program learning in</w:t>
      </w:r>
      <w:r>
        <w:t xml:space="preserve"> </w:t>
      </w:r>
      <w:r>
        <w:rPr>
          <w:rStyle w:val="VerbatimChar"/>
        </w:rPr>
        <w:t xml:space="preserve">Documentation.md</w:t>
      </w:r>
      <w:r>
        <w:t xml:space="preserve"> </w:t>
      </w:r>
      <w:r>
        <w:t xml:space="preserve">and stay scoped.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Agency / vendor direction conflicting with program mental model</w:t>
      </w:r>
      <w:r>
        <w:t xml:space="preserve"> </w:t>
      </w:r>
      <w:r>
        <w:t xml:space="preserve">— agencies often optimize for platform ROAS; program optimizes for blended MER. Surface the conflict, don't absorb it silently.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Stakeholder pressure to scale mid-test</w:t>
      </w:r>
      <w:r>
        <w:t xml:space="preserve"> </w:t>
      </w:r>
      <w:r>
        <w:t xml:space="preserve">— written hypothesis + milestone cadence protects against this; cite them.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2026-04-15T22:46:37Z</dcterms:created>
  <dcterms:modified xsi:type="dcterms:W3CDTF">2026-04-15T22:46:37Z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