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r--earned-media--deep-research-template"/>
    <w:p>
      <w:pPr>
        <w:pStyle w:val="Heading1"/>
      </w:pPr>
      <w:r>
        <w:t xml:space="preserve">PR / Earned Media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Journalist / outlet research</w:t>
      </w:r>
      <w:r>
        <w:t xml:space="preserve"> </w:t>
      </w:r>
      <w:r>
        <w:t xml:space="preserve">— top-20 journalists + outlets covering your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 agency evaluation</w:t>
      </w:r>
      <w:r>
        <w:t xml:space="preserve"> </w:t>
      </w:r>
      <w:r>
        <w:t xml:space="preserve">— agency shortlist + pitch + contract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coverage teardown</w:t>
      </w:r>
      <w:r>
        <w:t xml:space="preserve"> </w:t>
      </w:r>
      <w:r>
        <w:t xml:space="preserve">— share of voice, sentiment, story types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Tier-1 pitch research</w:t>
      </w:r>
      <w:r>
        <w:t xml:space="preserve"> </w:t>
      </w:r>
      <w:r>
        <w:t xml:space="preserve">— what works for WSJ / NYT / Bloomberg in your category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Thought leadership benchmarks</w:t>
      </w:r>
      <w:r>
        <w:t xml:space="preserve"> </w:t>
      </w:r>
      <w:r>
        <w:t xml:space="preserve">— byline cadence, platform mix at peer brands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Crisis case studies</w:t>
      </w:r>
      <w:r>
        <w:t xml:space="preserve"> </w:t>
      </w:r>
      <w:r>
        <w:t xml:space="preserve">— how brands handled specific crisis types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Muck Rack</w:t>
      </w:r>
      <w:r>
        <w:t xml:space="preserve"> </w:t>
      </w:r>
      <w:r>
        <w:t xml:space="preserve">— journalist database, editorial calendars, pitch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Cision</w:t>
      </w:r>
      <w:r>
        <w:t xml:space="preserve"> </w:t>
      </w:r>
      <w:r>
        <w:t xml:space="preserve">— journalist + outlet database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ProfNet / HARO</w:t>
      </w:r>
      <w:r>
        <w:t xml:space="preserve"> </w:t>
      </w:r>
      <w:r>
        <w:t xml:space="preserve">— journalist source requests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Information</w:t>
      </w:r>
      <w:r>
        <w:t xml:space="preserve"> </w:t>
      </w:r>
      <w:r>
        <w:t xml:space="preserve">— trade-press coverage patterns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 outlets' editorial masthead + beats pages</w:t>
      </w:r>
      <w:r>
        <w:t xml:space="preserve"> </w:t>
      </w:r>
      <w:r>
        <w:t xml:space="preserve">— direct source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Press Gazette / Nieman Lab</w:t>
      </w:r>
      <w:r>
        <w:t xml:space="preserve"> </w:t>
      </w:r>
      <w:r>
        <w:t xml:space="preserve">— journalism-industry research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 Council / PR Week</w:t>
      </w:r>
      <w:r>
        <w:t xml:space="preserve"> </w:t>
      </w:r>
      <w:r>
        <w:t xml:space="preserve">— agency + industry benchmarks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PR agency sales decks</w:t>
      </w:r>
    </w:p>
    <w:p>
      <w:pPr>
        <w:pStyle w:val="Compact"/>
        <w:numPr>
          <w:ilvl w:val="0"/>
          <w:numId w:val="1003"/>
        </w:numPr>
      </w:pPr>
      <w:r>
        <w:t xml:space="preserve">Generic "how to get PR" content</w:t>
      </w:r>
    </w:p>
    <w:p>
      <w:pPr>
        <w:pStyle w:val="Compact"/>
        <w:numPr>
          <w:ilvl w:val="0"/>
          <w:numId w:val="1003"/>
        </w:numPr>
      </w:pPr>
      <w:r>
        <w:t xml:space="preserve">AI-generated pitch templates</w:t>
      </w:r>
    </w:p>
    <w:bookmarkEnd w:id="10"/>
    <w:bookmarkStart w:id="16" w:name="question-set-specializations"/>
    <w:p>
      <w:pPr>
        <w:pStyle w:val="Heading2"/>
      </w:pPr>
      <w:r>
        <w:t xml:space="preserve">Question-set specializations</w:t>
      </w:r>
    </w:p>
    <w:bookmarkStart w:id="11" w:name="for-journalist--outlet-research"/>
    <w:p>
      <w:pPr>
        <w:pStyle w:val="Heading3"/>
      </w:pPr>
      <w:r>
        <w:t xml:space="preserve">For journalist / outlet research:</w:t>
      </w:r>
    </w:p>
    <w:p>
      <w:pPr>
        <w:pStyle w:val="Compact"/>
        <w:numPr>
          <w:ilvl w:val="0"/>
          <w:numId w:val="1004"/>
        </w:numPr>
      </w:pPr>
      <w:r>
        <w:t xml:space="preserve">Top-20 journalists covering your category; beats + recent pieces + pitch preferences</w:t>
      </w:r>
    </w:p>
    <w:p>
      <w:pPr>
        <w:pStyle w:val="Compact"/>
        <w:numPr>
          <w:ilvl w:val="0"/>
          <w:numId w:val="1004"/>
        </w:numPr>
      </w:pPr>
      <w:r>
        <w:t xml:space="preserve">Top-10 outlets + typical story format + editorial calendar</w:t>
      </w:r>
    </w:p>
    <w:p>
      <w:pPr>
        <w:pStyle w:val="Compact"/>
        <w:numPr>
          <w:ilvl w:val="0"/>
          <w:numId w:val="1004"/>
        </w:numPr>
      </w:pPr>
      <w:r>
        <w:t xml:space="preserve">Tier-1 vs. trade press mix for your category</w:t>
      </w:r>
    </w:p>
    <w:p>
      <w:pPr>
        <w:pStyle w:val="Compact"/>
        <w:numPr>
          <w:ilvl w:val="0"/>
          <w:numId w:val="1004"/>
        </w:numPr>
      </w:pPr>
      <w:r>
        <w:t xml:space="preserve">Journalist turnover — who's leaving, who's joining</w:t>
      </w:r>
    </w:p>
    <w:p>
      <w:pPr>
        <w:pStyle w:val="Compact"/>
        <w:numPr>
          <w:ilvl w:val="0"/>
          <w:numId w:val="1004"/>
        </w:numPr>
      </w:pPr>
      <w:r>
        <w:t xml:space="preserve">Contact patterns — email preferred, social DMs, phone, pitch forms</w:t>
      </w:r>
    </w:p>
    <w:bookmarkEnd w:id="11"/>
    <w:bookmarkStart w:id="12" w:name="for-agency-evaluation"/>
    <w:p>
      <w:pPr>
        <w:pStyle w:val="Heading3"/>
      </w:pPr>
      <w:r>
        <w:t xml:space="preserve">For agency evaluation:</w:t>
      </w:r>
    </w:p>
    <w:p>
      <w:pPr>
        <w:pStyle w:val="Compact"/>
        <w:numPr>
          <w:ilvl w:val="0"/>
          <w:numId w:val="1005"/>
        </w:numPr>
      </w:pPr>
      <w:r>
        <w:t xml:space="preserve">Agency category specialization</w:t>
      </w:r>
    </w:p>
    <w:p>
      <w:pPr>
        <w:pStyle w:val="Compact"/>
        <w:numPr>
          <w:ilvl w:val="0"/>
          <w:numId w:val="1005"/>
        </w:numPr>
      </w:pPr>
      <w:r>
        <w:t xml:space="preserve">Client portfolio + published results</w:t>
      </w:r>
    </w:p>
    <w:p>
      <w:pPr>
        <w:pStyle w:val="Compact"/>
        <w:numPr>
          <w:ilvl w:val="0"/>
          <w:numId w:val="1005"/>
        </w:numPr>
      </w:pPr>
      <w:r>
        <w:t xml:space="preserve">Pricing model — retainer + project + performance</w:t>
      </w:r>
    </w:p>
    <w:p>
      <w:pPr>
        <w:pStyle w:val="Compact"/>
        <w:numPr>
          <w:ilvl w:val="0"/>
          <w:numId w:val="1005"/>
        </w:numPr>
      </w:pPr>
      <w:r>
        <w:t xml:space="preserve">Team structure — senior vs. associates</w:t>
      </w:r>
    </w:p>
    <w:p>
      <w:pPr>
        <w:pStyle w:val="Compact"/>
        <w:numPr>
          <w:ilvl w:val="0"/>
          <w:numId w:val="1005"/>
        </w:numPr>
      </w:pPr>
      <w:r>
        <w:t xml:space="preserve">Media relationships — depth in tier-1 vs. trade</w:t>
      </w:r>
    </w:p>
    <w:p>
      <w:pPr>
        <w:pStyle w:val="Compact"/>
        <w:numPr>
          <w:ilvl w:val="0"/>
          <w:numId w:val="1005"/>
        </w:numPr>
      </w:pPr>
      <w:r>
        <w:t xml:space="preserve">Speaking + event support</w:t>
      </w:r>
    </w:p>
    <w:p>
      <w:pPr>
        <w:pStyle w:val="Compact"/>
        <w:numPr>
          <w:ilvl w:val="0"/>
          <w:numId w:val="1005"/>
        </w:numPr>
      </w:pPr>
      <w:r>
        <w:t xml:space="preserve">Crisis management track record</w:t>
      </w:r>
    </w:p>
    <w:bookmarkEnd w:id="12"/>
    <w:bookmarkStart w:id="13" w:name="for-competitor-coverage-teardown"/>
    <w:p>
      <w:pPr>
        <w:pStyle w:val="Heading3"/>
      </w:pPr>
      <w:r>
        <w:t xml:space="preserve">For competitor coverage teardown:</w:t>
      </w:r>
    </w:p>
    <w:p>
      <w:pPr>
        <w:pStyle w:val="Compact"/>
        <w:numPr>
          <w:ilvl w:val="0"/>
          <w:numId w:val="1006"/>
        </w:numPr>
      </w:pPr>
      <w:r>
        <w:t xml:space="preserve">Volume of coverage — last 12 months</w:t>
      </w:r>
    </w:p>
    <w:p>
      <w:pPr>
        <w:pStyle w:val="Compact"/>
        <w:numPr>
          <w:ilvl w:val="0"/>
          <w:numId w:val="1006"/>
        </w:numPr>
      </w:pPr>
      <w:r>
        <w:t xml:space="preserve">Tier mix — tier-1 vs. trade vs. long-tail</w:t>
      </w:r>
    </w:p>
    <w:p>
      <w:pPr>
        <w:pStyle w:val="Compact"/>
        <w:numPr>
          <w:ilvl w:val="0"/>
          <w:numId w:val="1006"/>
        </w:numPr>
      </w:pPr>
      <w:r>
        <w:t xml:space="preserve">Story types — launch, funding, thought leadership, category-defining</w:t>
      </w:r>
    </w:p>
    <w:p>
      <w:pPr>
        <w:pStyle w:val="Compact"/>
        <w:numPr>
          <w:ilvl w:val="0"/>
          <w:numId w:val="1006"/>
        </w:numPr>
      </w:pPr>
      <w:r>
        <w:t xml:space="preserve">Executive visibility — who's quoted, who's podcasting</w:t>
      </w:r>
    </w:p>
    <w:p>
      <w:pPr>
        <w:pStyle w:val="Compact"/>
        <w:numPr>
          <w:ilvl w:val="0"/>
          <w:numId w:val="1006"/>
        </w:numPr>
      </w:pPr>
      <w:r>
        <w:t xml:space="preserve">Thought leadership — bylines, speaking, original research</w:t>
      </w:r>
    </w:p>
    <w:p>
      <w:pPr>
        <w:pStyle w:val="Compact"/>
        <w:numPr>
          <w:ilvl w:val="0"/>
          <w:numId w:val="1006"/>
        </w:numPr>
      </w:pPr>
      <w:r>
        <w:t xml:space="preserve">Crisis handling (if any)</w:t>
      </w:r>
    </w:p>
    <w:bookmarkEnd w:id="13"/>
    <w:bookmarkStart w:id="14" w:name="for-tier-1-pitch-research"/>
    <w:p>
      <w:pPr>
        <w:pStyle w:val="Heading3"/>
      </w:pPr>
      <w:r>
        <w:t xml:space="preserve">For tier-1 pitch research:</w:t>
      </w:r>
    </w:p>
    <w:p>
      <w:pPr>
        <w:pStyle w:val="Compact"/>
        <w:numPr>
          <w:ilvl w:val="0"/>
          <w:numId w:val="1007"/>
        </w:numPr>
      </w:pPr>
      <w:r>
        <w:t xml:space="preserve">What's worked at tier-1 in your category — specific story angles</w:t>
      </w:r>
    </w:p>
    <w:p>
      <w:pPr>
        <w:pStyle w:val="Compact"/>
        <w:numPr>
          <w:ilvl w:val="0"/>
          <w:numId w:val="1007"/>
        </w:numPr>
      </w:pPr>
      <w:r>
        <w:t xml:space="preserve">Editorial cycles + calendar</w:t>
      </w:r>
    </w:p>
    <w:p>
      <w:pPr>
        <w:pStyle w:val="Compact"/>
        <w:numPr>
          <w:ilvl w:val="0"/>
          <w:numId w:val="1007"/>
        </w:numPr>
      </w:pPr>
      <w:r>
        <w:t xml:space="preserve">Relationship expectations — direct vs. agency</w:t>
      </w:r>
    </w:p>
    <w:p>
      <w:pPr>
        <w:pStyle w:val="Compact"/>
        <w:numPr>
          <w:ilvl w:val="0"/>
          <w:numId w:val="1007"/>
        </w:numPr>
      </w:pPr>
      <w:r>
        <w:t xml:space="preserve">Embargoes vs. exclusives</w:t>
      </w:r>
    </w:p>
    <w:p>
      <w:pPr>
        <w:pStyle w:val="Compact"/>
        <w:numPr>
          <w:ilvl w:val="0"/>
          <w:numId w:val="1007"/>
        </w:numPr>
      </w:pPr>
      <w:r>
        <w:t xml:space="preserve">Follow-up norms</w:t>
      </w:r>
    </w:p>
    <w:bookmarkEnd w:id="14"/>
    <w:bookmarkStart w:id="15" w:name="for-thought-leadership-benchmarks"/>
    <w:p>
      <w:pPr>
        <w:pStyle w:val="Heading3"/>
      </w:pPr>
      <w:r>
        <w:t xml:space="preserve">For thought leadership benchmarks:</w:t>
      </w:r>
    </w:p>
    <w:p>
      <w:pPr>
        <w:pStyle w:val="Compact"/>
        <w:numPr>
          <w:ilvl w:val="0"/>
          <w:numId w:val="1008"/>
        </w:numPr>
      </w:pPr>
      <w:r>
        <w:t xml:space="preserve">Byline cadence at peer brands</w:t>
      </w:r>
    </w:p>
    <w:p>
      <w:pPr>
        <w:pStyle w:val="Compact"/>
        <w:numPr>
          <w:ilvl w:val="0"/>
          <w:numId w:val="1008"/>
        </w:numPr>
      </w:pPr>
      <w:r>
        <w:t xml:space="preserve">Byline outlets — owned vs. trade vs. tier-1</w:t>
      </w:r>
    </w:p>
    <w:p>
      <w:pPr>
        <w:pStyle w:val="Compact"/>
        <w:numPr>
          <w:ilvl w:val="0"/>
          <w:numId w:val="1008"/>
        </w:numPr>
      </w:pPr>
      <w:r>
        <w:t xml:space="preserve">Podcast appearances</w:t>
      </w:r>
    </w:p>
    <w:p>
      <w:pPr>
        <w:pStyle w:val="Compact"/>
        <w:numPr>
          <w:ilvl w:val="0"/>
          <w:numId w:val="1008"/>
        </w:numPr>
      </w:pPr>
      <w:r>
        <w:t xml:space="preserve">Conference speaking</w:t>
      </w:r>
    </w:p>
    <w:p>
      <w:pPr>
        <w:pStyle w:val="Compact"/>
        <w:numPr>
          <w:ilvl w:val="0"/>
          <w:numId w:val="1008"/>
        </w:numPr>
      </w:pPr>
      <w:r>
        <w:t xml:space="preserve">Original research / reports produced</w:t>
      </w:r>
    </w:p>
    <w:bookmarkEnd w:id="15"/>
    <w:bookmarkEnd w:id="16"/>
    <w:bookmarkStart w:id="17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thought-leadership frameworks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B2B industry-press patterns</w:t>
      </w:r>
    </w:p>
    <w:bookmarkEnd w:id="17"/>
    <w:bookmarkStart w:id="18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10"/>
        </w:numPr>
      </w:pPr>
      <w:r>
        <w:t xml:space="preserve">"Research top-20 journalists covering DTC beauty + commerce for $40M brand — beats, pitch preferences, recent coverage, relationship depth"</w:t>
      </w:r>
    </w:p>
    <w:p>
      <w:pPr>
        <w:pStyle w:val="Compact"/>
        <w:numPr>
          <w:ilvl w:val="0"/>
          <w:numId w:val="1010"/>
        </w:numPr>
      </w:pPr>
      <w:r>
        <w:t xml:space="preserve">"Evaluate 5 PR agencies for B2B SaaS growth-stage company — portfolio, pricing, tier-1 access, crisis capability"</w:t>
      </w:r>
    </w:p>
    <w:p>
      <w:pPr>
        <w:pStyle w:val="Compact"/>
        <w:numPr>
          <w:ilvl w:val="0"/>
          <w:numId w:val="1010"/>
        </w:numPr>
      </w:pPr>
      <w:r>
        <w:t xml:space="preserve">"Teardown competitor PR strategy — 3 direct competitors, 12-month coverage analysis, SOV comparison"</w:t>
      </w:r>
    </w:p>
    <w:p>
      <w:pPr>
        <w:pStyle w:val="Compact"/>
        <w:numPr>
          <w:ilvl w:val="0"/>
          <w:numId w:val="1010"/>
        </w:numPr>
      </w:pPr>
      <w:r>
        <w:t xml:space="preserve">"Research tier-1 pitch best-practice for Series B funding announcement — WSJ, NYT DealBook, Bloomberg, Fortune; what stories got picked up, what didn't"</w:t>
      </w:r>
    </w:p>
    <w:p>
      <w:pPr>
        <w:pStyle w:val="Compact"/>
        <w:numPr>
          <w:ilvl w:val="0"/>
          <w:numId w:val="1010"/>
        </w:numPr>
      </w:pPr>
      <w:r>
        <w:t xml:space="preserve">"Research thought-leadership benchmarks — B2B SaaS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</m:oMath>
      <w:r>
        <w:t xml:space="preserve">200M ARR — byline cadence, platforms, topic mix, measurable impact"</w:t>
      </w:r>
    </w:p>
    <w:p>
      <w:pPr>
        <w:pStyle w:val="Compact"/>
        <w:numPr>
          <w:ilvl w:val="0"/>
          <w:numId w:val="1010"/>
        </w:numPr>
      </w:pPr>
      <w:r>
        <w:t xml:space="preserve">"Research crisis PR case studies — product recall / data breach / executive controversy — documented playbooks and outcomes"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2026-04-15T22:46:41Z</dcterms:created>
  <dcterms:modified xsi:type="dcterms:W3CDTF">2026-04-15T22:46:41Z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