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b9054f5a9700fefb5a823eacd021c5b099af7aa"/>
    <w:p>
      <w:pPr>
        <w:pStyle w:val="Heading1"/>
      </w:pPr>
      <w:r>
        <w:t xml:space="preserve">Pricing / Promotion — Deep Research Template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~/.claude/templates/deep-research-competitive-landscape.md</w:t>
      </w:r>
    </w:p>
    <w:p>
      <w:r>
        <w:pict>
          <v:rect style="width:0;height:1.5pt" o:hralign="center" o:hrstd="t" o:hr="t"/>
        </w:pict>
      </w:r>
    </w:p>
    <w:bookmarkStart w:id="9" w:name="use-cases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Competitor pricing landscape</w:t>
      </w:r>
      <w:r>
        <w:t xml:space="preserve"> </w:t>
      </w:r>
      <w:r>
        <w:t xml:space="preserve">— price points, promotional cadence, depth in your category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Price elasticity research</w:t>
      </w:r>
      <w:r>
        <w:t xml:space="preserve"> </w:t>
      </w:r>
      <w:r>
        <w:t xml:space="preserve">— measurement methodology + category benchmarks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Promotional calendar benchmarks</w:t>
      </w:r>
      <w:r>
        <w:t xml:space="preserve"> </w:t>
      </w:r>
      <w:r>
        <w:t xml:space="preserve">— how often + how deep by category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Subscription pricing research</w:t>
      </w:r>
      <w:r>
        <w:t xml:space="preserve"> </w:t>
      </w:r>
      <w:r>
        <w:t xml:space="preserve">— tier structures, grandfathering, migration patterns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B2B SaaS tier structures</w:t>
      </w:r>
      <w:r>
        <w:t xml:space="preserve"> </w:t>
      </w:r>
      <w:r>
        <w:t xml:space="preserve">— good-better-best design, pricing metric choice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Dynamic pricing research</w:t>
      </w:r>
      <w:r>
        <w:t xml:space="preserve"> </w:t>
      </w:r>
      <w:r>
        <w:t xml:space="preserve">— algorithmic pricing, surge pricing, personalized pricing</w:t>
      </w:r>
    </w:p>
    <w:bookmarkEnd w:id="9"/>
    <w:bookmarkStart w:id="10" w:name="opinionated-source-priorities"/>
    <w:p>
      <w:pPr>
        <w:pStyle w:val="Heading2"/>
      </w:pPr>
      <w:r>
        <w:t xml:space="preserve">Opinionated source priorities</w:t>
      </w:r>
    </w:p>
    <w:p>
      <w:pPr>
        <w:pStyle w:val="FirstParagraph"/>
      </w:pPr>
      <w:r>
        <w:rPr>
          <w:b/>
          <w:bCs/>
        </w:rPr>
        <w:t xml:space="preserve">Prioritize: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Hermann Simon pricing research</w:t>
      </w:r>
      <w:r>
        <w:t xml:space="preserve"> </w:t>
      </w:r>
      <w:r>
        <w:t xml:space="preserve">— Simon-Kucher consulting, books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Business Review pricing</w:t>
      </w:r>
      <w:r>
        <w:t xml:space="preserve"> </w:t>
      </w:r>
      <w:r>
        <w:t xml:space="preserve">— academic + operator case studies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Professor Russell Belk, Adrian Ryans, Madhav Kaul</w:t>
      </w:r>
      <w:r>
        <w:t xml:space="preserve"> </w:t>
      </w:r>
      <w:r>
        <w:t xml:space="preserve">— academic pricing research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Operator voice on LinkedIn</w:t>
      </w:r>
      <w:r>
        <w:t xml:space="preserve"> </w:t>
      </w:r>
      <w:r>
        <w:t xml:space="preserve">— real pricing moves + outcomes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 Pricing research</w:t>
      </w:r>
      <w:r>
        <w:t xml:space="preserve"> </w:t>
      </w:r>
      <w:r>
        <w:t xml:space="preserve">— open-source + open-community pricing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Price Intelligently (ProfitWell) research</w:t>
      </w:r>
      <w:r>
        <w:t xml:space="preserve"> </w:t>
      </w:r>
      <w:r>
        <w:t xml:space="preserve">— SaaS pricing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 filings</w:t>
      </w:r>
      <w:r>
        <w:t xml:space="preserve"> </w:t>
      </w:r>
      <w:r>
        <w:t xml:space="preserve">— public companies disclose pricing + promotional trends</w:t>
      </w:r>
    </w:p>
    <w:p>
      <w:pPr>
        <w:pStyle w:val="FirstParagraph"/>
      </w:pPr>
      <w:r>
        <w:rPr>
          <w:b/>
          <w:bCs/>
        </w:rPr>
        <w:t xml:space="preserve">De-prioritize:</w:t>
      </w:r>
    </w:p>
    <w:p>
      <w:pPr>
        <w:pStyle w:val="Compact"/>
        <w:numPr>
          <w:ilvl w:val="0"/>
          <w:numId w:val="1003"/>
        </w:numPr>
      </w:pPr>
      <w:r>
        <w:t xml:space="preserve">Vendor-published "pricing strategy" content</w:t>
      </w:r>
    </w:p>
    <w:p>
      <w:pPr>
        <w:pStyle w:val="Compact"/>
        <w:numPr>
          <w:ilvl w:val="0"/>
          <w:numId w:val="1003"/>
        </w:numPr>
      </w:pPr>
      <w:r>
        <w:t xml:space="preserve">Generic listicles</w:t>
      </w:r>
    </w:p>
    <w:p>
      <w:pPr>
        <w:pStyle w:val="Compact"/>
        <w:numPr>
          <w:ilvl w:val="0"/>
          <w:numId w:val="1003"/>
        </w:numPr>
      </w:pPr>
      <w:r>
        <w:t xml:space="preserve">AI-generated pricing advice</w:t>
      </w:r>
    </w:p>
    <w:bookmarkEnd w:id="10"/>
    <w:bookmarkStart w:id="16" w:name="question-set-specializations"/>
    <w:p>
      <w:pPr>
        <w:pStyle w:val="Heading2"/>
      </w:pPr>
      <w:r>
        <w:t xml:space="preserve">Question-set specializations</w:t>
      </w:r>
    </w:p>
    <w:bookmarkStart w:id="11" w:name="for-competitor-pricing-landscape"/>
    <w:p>
      <w:pPr>
        <w:pStyle w:val="Heading3"/>
      </w:pPr>
      <w:r>
        <w:t xml:space="preserve">For competitor pricing landscape:</w:t>
      </w:r>
    </w:p>
    <w:p>
      <w:pPr>
        <w:pStyle w:val="Compact"/>
        <w:numPr>
          <w:ilvl w:val="0"/>
          <w:numId w:val="1004"/>
        </w:numPr>
      </w:pPr>
      <w:r>
        <w:t xml:space="preserve">Top 10 competitors: price points, tiers, bundles</w:t>
      </w:r>
    </w:p>
    <w:p>
      <w:pPr>
        <w:pStyle w:val="Compact"/>
        <w:numPr>
          <w:ilvl w:val="0"/>
          <w:numId w:val="1004"/>
        </w:numPr>
      </w:pPr>
      <w:r>
        <w:t xml:space="preserve">Promotional cadence — frequency + depth observed</w:t>
      </w:r>
    </w:p>
    <w:p>
      <w:pPr>
        <w:pStyle w:val="Compact"/>
        <w:numPr>
          <w:ilvl w:val="0"/>
          <w:numId w:val="1004"/>
        </w:numPr>
      </w:pPr>
      <w:r>
        <w:t xml:space="preserve">Pricing communication — where do they communicate price?</w:t>
      </w:r>
    </w:p>
    <w:p>
      <w:pPr>
        <w:pStyle w:val="Compact"/>
        <w:numPr>
          <w:ilvl w:val="0"/>
          <w:numId w:val="1004"/>
        </w:numPr>
      </w:pPr>
      <w:r>
        <w:t xml:space="preserve">MAP enforcement evidence</w:t>
      </w:r>
    </w:p>
    <w:p>
      <w:pPr>
        <w:pStyle w:val="Compact"/>
        <w:numPr>
          <w:ilvl w:val="0"/>
          <w:numId w:val="1004"/>
        </w:numPr>
      </w:pPr>
      <w:r>
        <w:t xml:space="preserve">Recent pricing moves (past 12 months) + visible impact</w:t>
      </w:r>
    </w:p>
    <w:p>
      <w:pPr>
        <w:pStyle w:val="Compact"/>
        <w:numPr>
          <w:ilvl w:val="0"/>
          <w:numId w:val="1004"/>
        </w:numPr>
      </w:pPr>
      <w:r>
        <w:t xml:space="preserve">Subscription / recurring pricing if applicable</w:t>
      </w:r>
    </w:p>
    <w:bookmarkEnd w:id="11"/>
    <w:bookmarkStart w:id="12" w:name="for-price-elasticity-research"/>
    <w:p>
      <w:pPr>
        <w:pStyle w:val="Heading3"/>
      </w:pPr>
      <w:r>
        <w:t xml:space="preserve">For price elasticity research:</w:t>
      </w:r>
    </w:p>
    <w:p>
      <w:pPr>
        <w:pStyle w:val="Compact"/>
        <w:numPr>
          <w:ilvl w:val="0"/>
          <w:numId w:val="1005"/>
        </w:numPr>
      </w:pPr>
      <w:r>
        <w:t xml:space="preserve">Methodology choices — conjoint, A/B testing, natural experiments, market-level</w:t>
      </w:r>
    </w:p>
    <w:p>
      <w:pPr>
        <w:pStyle w:val="Compact"/>
        <w:numPr>
          <w:ilvl w:val="0"/>
          <w:numId w:val="1005"/>
        </w:numPr>
      </w:pPr>
      <w:r>
        <w:t xml:space="preserve">Category benchmarks for elasticity</w:t>
      </w:r>
    </w:p>
    <w:p>
      <w:pPr>
        <w:pStyle w:val="Compact"/>
        <w:numPr>
          <w:ilvl w:val="0"/>
          <w:numId w:val="1005"/>
        </w:numPr>
      </w:pPr>
      <w:r>
        <w:t xml:space="preserve">Cross-price elasticity (cannibalization between SKUs)</w:t>
      </w:r>
    </w:p>
    <w:p>
      <w:pPr>
        <w:pStyle w:val="Compact"/>
        <w:numPr>
          <w:ilvl w:val="0"/>
          <w:numId w:val="1005"/>
        </w:numPr>
      </w:pPr>
      <w:r>
        <w:t xml:space="preserve">Promotional elasticity vs. list-price elasticity</w:t>
      </w:r>
    </w:p>
    <w:p>
      <w:pPr>
        <w:pStyle w:val="Compact"/>
        <w:numPr>
          <w:ilvl w:val="0"/>
          <w:numId w:val="1005"/>
        </w:numPr>
      </w:pPr>
      <w:r>
        <w:t xml:space="preserve">Willingness-to-pay research techniques</w:t>
      </w:r>
    </w:p>
    <w:bookmarkEnd w:id="12"/>
    <w:bookmarkStart w:id="13" w:name="for-promotional-benchmarks"/>
    <w:p>
      <w:pPr>
        <w:pStyle w:val="Heading3"/>
      </w:pPr>
      <w:r>
        <w:t xml:space="preserve">For promotional benchmarks:</w:t>
      </w:r>
    </w:p>
    <w:p>
      <w:pPr>
        <w:pStyle w:val="Compact"/>
        <w:numPr>
          <w:ilvl w:val="0"/>
          <w:numId w:val="1006"/>
        </w:numPr>
      </w:pPr>
      <w:r>
        <w:t xml:space="preserve">Promotional revenue share at peer brands (where disclosed)</w:t>
      </w:r>
    </w:p>
    <w:p>
      <w:pPr>
        <w:pStyle w:val="Compact"/>
        <w:numPr>
          <w:ilvl w:val="0"/>
          <w:numId w:val="1006"/>
        </w:numPr>
      </w:pPr>
      <w:r>
        <w:t xml:space="preserve">Cadence norms by category</w:t>
      </w:r>
    </w:p>
    <w:p>
      <w:pPr>
        <w:pStyle w:val="Compact"/>
        <w:numPr>
          <w:ilvl w:val="0"/>
          <w:numId w:val="1006"/>
        </w:numPr>
      </w:pPr>
      <w:r>
        <w:t xml:space="preserve">Depth norms — first-time, subscribe-and-save, BFCM, clearance</w:t>
      </w:r>
    </w:p>
    <w:p>
      <w:pPr>
        <w:pStyle w:val="Compact"/>
        <w:numPr>
          <w:ilvl w:val="0"/>
          <w:numId w:val="1006"/>
        </w:numPr>
      </w:pPr>
      <w:r>
        <w:t xml:space="preserve">Black Friday / Cyber Monday / holiday category norms</w:t>
      </w:r>
    </w:p>
    <w:p>
      <w:pPr>
        <w:pStyle w:val="Compact"/>
        <w:numPr>
          <w:ilvl w:val="0"/>
          <w:numId w:val="1006"/>
        </w:numPr>
      </w:pPr>
      <w:r>
        <w:t xml:space="preserve">Loyalty-tier exclusive pricing</w:t>
      </w:r>
    </w:p>
    <w:bookmarkEnd w:id="13"/>
    <w:bookmarkStart w:id="14" w:name="for-subscription-pricing"/>
    <w:p>
      <w:pPr>
        <w:pStyle w:val="Heading3"/>
      </w:pPr>
      <w:r>
        <w:t xml:space="preserve">For subscription pricing:</w:t>
      </w:r>
    </w:p>
    <w:p>
      <w:pPr>
        <w:pStyle w:val="Compact"/>
        <w:numPr>
          <w:ilvl w:val="0"/>
          <w:numId w:val="1007"/>
        </w:numPr>
      </w:pPr>
      <w:r>
        <w:t xml:space="preserve">Tier structures — freemium, usage, seat, outcome</w:t>
      </w:r>
    </w:p>
    <w:p>
      <w:pPr>
        <w:pStyle w:val="Compact"/>
        <w:numPr>
          <w:ilvl w:val="0"/>
          <w:numId w:val="1007"/>
        </w:numPr>
      </w:pPr>
      <w:r>
        <w:t xml:space="preserve">Grandfathering vs. migration strategies</w:t>
      </w:r>
    </w:p>
    <w:p>
      <w:pPr>
        <w:pStyle w:val="Compact"/>
        <w:numPr>
          <w:ilvl w:val="0"/>
          <w:numId w:val="1007"/>
        </w:numPr>
      </w:pPr>
      <w:r>
        <w:t xml:space="preserve">Price-change communication patterns</w:t>
      </w:r>
    </w:p>
    <w:p>
      <w:pPr>
        <w:pStyle w:val="Compact"/>
        <w:numPr>
          <w:ilvl w:val="0"/>
          <w:numId w:val="1007"/>
        </w:numPr>
      </w:pPr>
      <w:r>
        <w:t xml:space="preserve">Churn elasticity to price changes</w:t>
      </w:r>
    </w:p>
    <w:p>
      <w:pPr>
        <w:pStyle w:val="Compact"/>
        <w:numPr>
          <w:ilvl w:val="0"/>
          <w:numId w:val="1007"/>
        </w:numPr>
      </w:pPr>
      <w:r>
        <w:t xml:space="preserve">Competitive repricing responses</w:t>
      </w:r>
    </w:p>
    <w:bookmarkEnd w:id="14"/>
    <w:bookmarkStart w:id="15" w:name="for-dynamic-pricing"/>
    <w:p>
      <w:pPr>
        <w:pStyle w:val="Heading3"/>
      </w:pPr>
      <w:r>
        <w:t xml:space="preserve">For dynamic pricing:</w:t>
      </w:r>
    </w:p>
    <w:p>
      <w:pPr>
        <w:pStyle w:val="Compact"/>
        <w:numPr>
          <w:ilvl w:val="0"/>
          <w:numId w:val="1008"/>
        </w:numPr>
      </w:pPr>
      <w:r>
        <w:t xml:space="preserve">Algorithmic pricing adoption by category</w:t>
      </w:r>
    </w:p>
    <w:p>
      <w:pPr>
        <w:pStyle w:val="Compact"/>
        <w:numPr>
          <w:ilvl w:val="0"/>
          <w:numId w:val="1008"/>
        </w:numPr>
      </w:pPr>
      <w:r>
        <w:t xml:space="preserve">Surge pricing legality + brand-perception impact</w:t>
      </w:r>
    </w:p>
    <w:p>
      <w:pPr>
        <w:pStyle w:val="Compact"/>
        <w:numPr>
          <w:ilvl w:val="0"/>
          <w:numId w:val="1008"/>
        </w:numPr>
      </w:pPr>
      <w:r>
        <w:t xml:space="preserve">Personalized pricing technology + risk</w:t>
      </w:r>
    </w:p>
    <w:p>
      <w:pPr>
        <w:pStyle w:val="Compact"/>
        <w:numPr>
          <w:ilvl w:val="0"/>
          <w:numId w:val="1008"/>
        </w:numPr>
      </w:pPr>
      <w:r>
        <w:t xml:space="preserve">Real-time price optimization platforms</w:t>
      </w:r>
    </w:p>
    <w:bookmarkEnd w:id="15"/>
    <w:bookmarkEnd w:id="16"/>
    <w:bookmarkStart w:id="17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{{KNOWLEDGE_BASE_ROOT}}/mmm-and-response-curves/wiki/_index.md</w:t>
      </w:r>
      <w:r>
        <w:t xml:space="preserve"> </w:t>
      </w:r>
      <w:r>
        <w:t xml:space="preserve">— elasticity + response modeling methodology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{{KNOWLEDGE_BASE_ROOT}}/retail-sales-enablement/wiki/_index.md</w:t>
      </w:r>
      <w:r>
        <w:t xml:space="preserve"> </w:t>
      </w:r>
      <w:r>
        <w:t xml:space="preserve">— retailer pricing coordination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{{KNOWLEDGE_BASE_ROOT}}/product-research-and-competitive-intelligence/wiki/_index.md</w:t>
      </w:r>
      <w:r>
        <w:t xml:space="preserve"> </w:t>
      </w:r>
      <w:r>
        <w:t xml:space="preserve">— competitive research methodology</w:t>
      </w:r>
    </w:p>
    <w:bookmarkEnd w:id="17"/>
    <w:bookmarkStart w:id="18" w:name="example-filled-in-briefs"/>
    <w:p>
      <w:pPr>
        <w:pStyle w:val="Heading2"/>
      </w:pPr>
      <w:r>
        <w:t xml:space="preserve">Example filled-in briefs</w:t>
      </w:r>
    </w:p>
    <w:p>
      <w:pPr>
        <w:pStyle w:val="Compact"/>
        <w:numPr>
          <w:ilvl w:val="0"/>
          <w:numId w:val="1010"/>
        </w:numPr>
      </w:pPr>
      <w:r>
        <w:t xml:space="preserve">"Research pricing + promotional strategy at 10 competitors in premium outdoor-gear category</w:t>
      </w:r>
      <w:r>
        <w:t xml:space="preserve"> </w:t>
      </w:r>
      <m:oMath>
        <m:r>
          <m:t>100</m:t>
        </m:r>
        <m:r>
          <m:rPr>
            <m:sty m:val="p"/>
          </m:rPr>
          <m:t>−</m:t>
        </m:r>
      </m:oMath>
      <w:r>
        <w:t xml:space="preserve">500 AOV — price points, promotional cadence, BFCM depth, recent moves"</w:t>
      </w:r>
    </w:p>
    <w:p>
      <w:pPr>
        <w:pStyle w:val="Compact"/>
        <w:numPr>
          <w:ilvl w:val="0"/>
          <w:numId w:val="1010"/>
        </w:numPr>
      </w:pPr>
      <w:r>
        <w:t xml:space="preserve">"Research price-elasticity measurement methodology for DTC brands — conjoint, A/B, natural experiments; tooling + cost + accuracy tradeoffs"</w:t>
      </w:r>
    </w:p>
    <w:p>
      <w:pPr>
        <w:pStyle w:val="Compact"/>
        <w:numPr>
          <w:ilvl w:val="0"/>
          <w:numId w:val="1010"/>
        </w:numPr>
      </w:pPr>
      <w:r>
        <w:t xml:space="preserve">"Research promotional calendar benchmarks for beauty DTC — frequency, depth, BFCM vs. regular, loyalty exclusive; public brands' disclosed data"</w:t>
      </w:r>
    </w:p>
    <w:p>
      <w:pPr>
        <w:pStyle w:val="Compact"/>
        <w:numPr>
          <w:ilvl w:val="0"/>
          <w:numId w:val="1010"/>
        </w:numPr>
      </w:pPr>
      <w:r>
        <w:t xml:space="preserve">"Research SaaS pricing benchmarks mid-market B2B (</w:t>
      </w:r>
      <m:oMath>
        <m:r>
          <m:t>30</m:t>
        </m:r>
        <m:r>
          <m:rPr>
            <m:sty m:val="p"/>
          </m:rPr>
          <m:t>−</m:t>
        </m:r>
      </m:oMath>
      <w:r>
        <w:t xml:space="preserve">200/user/month tier) — tier structures, annual vs. monthly, grandfathering patterns"</w:t>
      </w:r>
    </w:p>
    <w:p>
      <w:pPr>
        <w:pStyle w:val="Compact"/>
        <w:numPr>
          <w:ilvl w:val="0"/>
          <w:numId w:val="1010"/>
        </w:numPr>
      </w:pPr>
      <w:r>
        <w:t xml:space="preserve">"Research dynamic pricing adoption + risk — algorithmic pricing in DTC beauty, fashion; consumer response to surge pricing; legal considerations"</w:t>
      </w:r>
    </w:p>
    <w:p>
      <w:pPr>
        <w:pStyle w:val="Compact"/>
        <w:numPr>
          <w:ilvl w:val="0"/>
          <w:numId w:val="1010"/>
        </w:numPr>
      </w:pPr>
      <w:r>
        <w:t xml:space="preserve">"Research willingness-to-pay methodology — van Westendorp, Gabor-Granger, conjoint; applied to a new SKU launch decision"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2026-04-15T22:46:36Z</dcterms:created>
  <dcterms:modified xsi:type="dcterms:W3CDTF">2026-04-15T22:46:36Z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