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stainability--esg-program--bootstrap"/>
    <w:p>
      <w:pPr>
        <w:pStyle w:val="Heading1"/>
      </w:pPr>
      <w:r>
        <w:t xml:space="preserve">Sustainability / ESG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 or overhauling sustainability positioning, ESG (environmental, social, governance) program, B-Corp certification, supply-chain transparency, or climate-reporting program.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Sustainability leaders, brand marketers, CPG operators, B-Corp candidates. Programs span 12-36 weeks depending on depth — sustainability claims require operations to match.</w:t>
      </w:r>
    </w:p>
    <w:bookmarkEnd w:id="9"/>
    <w:bookmarkStart w:id="19" w:name="opinionated-defaults"/>
    <w:p>
      <w:pPr>
        <w:pStyle w:val="Heading2"/>
      </w:pPr>
      <w:r>
        <w:t xml:space="preserve">Opinionated defaults</w:t>
      </w:r>
    </w:p>
    <w:bookmarkStart w:id="10" w:name="claims-first-philosophy"/>
    <w:p>
      <w:pPr>
        <w:pStyle w:val="Heading3"/>
      </w:pPr>
      <w:r>
        <w:t xml:space="preserve">Claims-first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Don't claim what you can't prove.</w:t>
      </w:r>
      <w:r>
        <w:t xml:space="preserve"> </w:t>
      </w:r>
      <w:r>
        <w:t xml:space="preserve">Greenwashing is a legal + reputation risk; regulators (FTC Green Guides, EU Green Claims Directive, UK CMA) are enforcing.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certification &gt; self-declaration.</w:t>
      </w:r>
      <w:r>
        <w:t xml:space="preserve"> </w:t>
      </w:r>
      <w:r>
        <w:t xml:space="preserve">B-Corp, Fair Trade, Organic, Regenerative Organic, Leaping Bunny, 1% for the Planet — certifications are credibility leverage.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Measurement before marketing.</w:t>
      </w:r>
      <w:r>
        <w:t xml:space="preserve"> </w:t>
      </w:r>
      <w:r>
        <w:t xml:space="preserve">Scope 1 / Scope 2 / Scope 3 emissions measured before claiming "carbon neutral" or "climate positive."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 must catch up before marketing</w:t>
      </w:r>
      <w:r>
        <w:t xml:space="preserve"> </w:t>
      </w:r>
      <w:r>
        <w:t xml:space="preserve">— don't out-sustain what your operations actually do.</w:t>
      </w:r>
    </w:p>
    <w:bookmarkEnd w:id="10"/>
    <w:bookmarkStart w:id="11" w:name="certifications"/>
    <w:p>
      <w:pPr>
        <w:pStyle w:val="Heading3"/>
      </w:pPr>
      <w:r>
        <w:t xml:space="preserve">Certifications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B-Corp:</w:t>
      </w:r>
      <w:r>
        <w:t xml:space="preserve"> </w:t>
      </w:r>
      <w:r>
        <w:t xml:space="preserve">80+ BIA (B Impact Assessment) score, legal form amendment (benefit corp), 3-year audit cycle; meaningful but not universal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Fair Trade / Rainforest Alliance / UTZ:</w:t>
      </w:r>
      <w:r>
        <w:t xml:space="preserve"> </w:t>
      </w:r>
      <w:r>
        <w:t xml:space="preserve">commodity-specific (coffee, cocoa, cotton)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Organic (USDA / EU):</w:t>
      </w:r>
      <w:r>
        <w:t xml:space="preserve"> </w:t>
      </w:r>
      <w:r>
        <w:t xml:space="preserve">category-gated claims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Regenerative Organic Certified (ROC):</w:t>
      </w:r>
      <w:r>
        <w:t xml:space="preserve"> </w:t>
      </w:r>
      <w:r>
        <w:t xml:space="preserve">soil health + animal welfare + social fairness; harder to obtain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1% for the Planet:</w:t>
      </w:r>
      <w:r>
        <w:t xml:space="preserve"> </w:t>
      </w:r>
      <w:r>
        <w:t xml:space="preserve">1% of revenue to environmental causes; simple, transparent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Climate Neutral Certified / SBTi</w:t>
      </w:r>
      <w:r>
        <w:t xml:space="preserve"> </w:t>
      </w:r>
      <w:r>
        <w:t xml:space="preserve">(Science Based Targets initiative): climate-specific</w:t>
      </w:r>
    </w:p>
    <w:bookmarkEnd w:id="11"/>
    <w:bookmarkStart w:id="12" w:name="scope-123-emissions"/>
    <w:p>
      <w:pPr>
        <w:pStyle w:val="Heading3"/>
      </w:pPr>
      <w:r>
        <w:t xml:space="preserve">Scope 1/2/3 emissions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1:</w:t>
      </w:r>
      <w:r>
        <w:t xml:space="preserve"> </w:t>
      </w:r>
      <w:r>
        <w:t xml:space="preserve">direct emissions (facilities, vehicles you own)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2:</w:t>
      </w:r>
      <w:r>
        <w:t xml:space="preserve"> </w:t>
      </w:r>
      <w:r>
        <w:t xml:space="preserve">indirect emissions (purchased electricity)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3:</w:t>
      </w:r>
      <w:r>
        <w:t xml:space="preserve"> </w:t>
      </w:r>
      <w:r>
        <w:t xml:space="preserve">upstream + downstream (supply chain, shipping, customer use, end of life) — usually largest for consumer brands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Don't claim carbon neutral on scopes 1+2 only</w:t>
      </w:r>
      <w:r>
        <w:t xml:space="preserve"> </w:t>
      </w:r>
      <w:r>
        <w:t xml:space="preserve">— scope 3 is 70-95% of most consumer brands' footprint</w:t>
      </w:r>
    </w:p>
    <w:bookmarkEnd w:id="12"/>
    <w:bookmarkStart w:id="13" w:name="esg-reporting-standards"/>
    <w:p>
      <w:pPr>
        <w:pStyle w:val="Heading3"/>
      </w:pPr>
      <w:r>
        <w:t xml:space="preserve">ESG reporting standards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TCFD (Task Force on Climate-Related Financial Disclosures):</w:t>
      </w:r>
      <w:r>
        <w:t xml:space="preserve"> </w:t>
      </w:r>
      <w:r>
        <w:t xml:space="preserve">governance, strategy, risk, metrics — increasingly required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SASB (Sustainability Accounting Standards Board):</w:t>
      </w:r>
      <w:r>
        <w:t xml:space="preserve"> </w:t>
      </w:r>
      <w:r>
        <w:t xml:space="preserve">industry-specific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 (Global Reporting Initiative):</w:t>
      </w:r>
      <w:r>
        <w:t xml:space="preserve"> </w:t>
      </w:r>
      <w:r>
        <w:t xml:space="preserve">comprehensive sustainability reporting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CDP (formerly Carbon Disclosure Project):</w:t>
      </w:r>
      <w:r>
        <w:t xml:space="preserve"> </w:t>
      </w:r>
      <w:r>
        <w:t xml:space="preserve">climate + water + forests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 Corp BIA:</w:t>
      </w:r>
      <w:r>
        <w:t xml:space="preserve"> </w:t>
      </w:r>
      <w:r>
        <w:t xml:space="preserve">multi-dimensional assessment</w:t>
      </w:r>
    </w:p>
    <w:bookmarkEnd w:id="13"/>
    <w:bookmarkStart w:id="14" w:name="supply-chain-transparency"/>
    <w:p>
      <w:pPr>
        <w:pStyle w:val="Heading3"/>
      </w:pPr>
      <w:r>
        <w:t xml:space="preserve">Supply chain transparency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Tier 1:</w:t>
      </w:r>
      <w:r>
        <w:t xml:space="preserve"> </w:t>
      </w:r>
      <w:r>
        <w:t xml:space="preserve">direct suppliers — most brands have visibility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Tier 2 + 3:</w:t>
      </w:r>
      <w:r>
        <w:t xml:space="preserve"> </w:t>
      </w:r>
      <w:r>
        <w:t xml:space="preserve">sub-suppliers, raw materials — increasingly expected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traceability</w:t>
      </w:r>
      <w:r>
        <w:t xml:space="preserve"> </w:t>
      </w:r>
      <w:r>
        <w:t xml:space="preserve">for high-risk ingredients/materials (cobalt, palm oil, cotton from Uyghur region, etc.)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Supplier code of conduct</w:t>
      </w:r>
      <w:r>
        <w:t xml:space="preserve"> </w:t>
      </w:r>
      <w:r>
        <w:t xml:space="preserve">required for credible claims</w:t>
      </w:r>
    </w:p>
    <w:bookmarkEnd w:id="14"/>
    <w:bookmarkStart w:id="15" w:name="social-dimension"/>
    <w:p>
      <w:pPr>
        <w:pStyle w:val="Heading3"/>
      </w:pPr>
      <w:r>
        <w:t xml:space="preserve">Social dimension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Fair wages</w:t>
      </w:r>
      <w:r>
        <w:t xml:space="preserve"> </w:t>
      </w:r>
      <w:r>
        <w:t xml:space="preserve">through supply chain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Labor rights</w:t>
      </w:r>
      <w:r>
        <w:t xml:space="preserve"> </w:t>
      </w:r>
      <w:r>
        <w:t xml:space="preserve">— no forced labor, no child labor, safe working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Diversity + inclusion</w:t>
      </w:r>
      <w:r>
        <w:t xml:space="preserve"> </w:t>
      </w:r>
      <w:r>
        <w:t xml:space="preserve">in workforce + suppliers + leadership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Community investment</w:t>
      </w:r>
      <w:r>
        <w:t xml:space="preserve"> </w:t>
      </w:r>
      <w:r>
        <w:t xml:space="preserve">— local hiring, community partnerships</w:t>
      </w:r>
    </w:p>
    <w:bookmarkEnd w:id="15"/>
    <w:bookmarkStart w:id="16" w:name="governance-dimension"/>
    <w:p>
      <w:pPr>
        <w:pStyle w:val="Heading3"/>
      </w:pPr>
      <w:r>
        <w:t xml:space="preserve">Governance dimension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Board composition + independence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Executive compensation tied to ESG outcomes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Whistleblower protections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Anti-corruption policies</w:t>
      </w:r>
    </w:p>
    <w:bookmarkEnd w:id="16"/>
    <w:bookmarkStart w:id="17" w:name="consumer-trust-patterns"/>
    <w:p>
      <w:pPr>
        <w:pStyle w:val="Heading3"/>
      </w:pPr>
      <w:r>
        <w:t xml:space="preserve">Consumer trust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 Z values sustainability 2-3× more than Gen X/Boomer</w:t>
      </w:r>
      <w:r>
        <w:t xml:space="preserve"> </w:t>
      </w:r>
      <w:r>
        <w:t xml:space="preserve">— but will detect insincerity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Authenticity &gt; marketing slickness</w:t>
      </w:r>
      <w:r>
        <w:t xml:space="preserve"> </w:t>
      </w:r>
      <w:r>
        <w:t xml:space="preserve">— imperfect but honest beats polished but vague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Progress narrative &gt; perfection claim</w:t>
      </w:r>
      <w:r>
        <w:t xml:space="preserve"> </w:t>
      </w:r>
      <w:r>
        <w:t xml:space="preserve">— "here's where we are, here's where we're going" works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Specificity &gt; generality</w:t>
      </w:r>
      <w:r>
        <w:t xml:space="preserve"> </w:t>
      </w:r>
      <w:r>
        <w:t xml:space="preserve">— "we cut emissions 40% since 2020" &gt; "we care about the planet"</w:t>
      </w:r>
    </w:p>
    <w:bookmarkEnd w:id="17"/>
    <w:bookmarkStart w:id="18" w:name="donts"/>
    <w:p>
      <w:pPr>
        <w:pStyle w:val="Heading3"/>
      </w:pPr>
      <w:r>
        <w:t xml:space="preserve">Don'ts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Don't claim "sustainable" / "eco-friendly" / "natural" without specifics</w:t>
      </w:r>
      <w:r>
        <w:t xml:space="preserve"> </w:t>
      </w:r>
      <w:r>
        <w:t xml:space="preserve">— these terms are legally scrutinized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Don't use generic "green" imagery without substance</w:t>
      </w:r>
      <w:r>
        <w:t xml:space="preserve"> </w:t>
      </w:r>
      <w:r>
        <w:t xml:space="preserve">— greenwashing triggers regulatory attention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Don't launch ESG marketing before operations support it</w:t>
      </w:r>
      <w:r>
        <w:t xml:space="preserve"> </w:t>
      </w:r>
      <w:r>
        <w:t xml:space="preserve">— inverse relationship between sophistication + skepticism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Don't certify then stop improving</w:t>
      </w:r>
      <w:r>
        <w:t xml:space="preserve"> </w:t>
      </w:r>
      <w:r>
        <w:t xml:space="preserve">— certifications require continuous improvement</w:t>
      </w:r>
    </w:p>
    <w:bookmarkEnd w:id="18"/>
    <w:bookmarkEnd w:id="19"/>
    <w:bookmarkStart w:id="20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sustainability state</w:t>
      </w:r>
      <w:r>
        <w:t xml:space="preserve"> </w:t>
      </w:r>
      <w:r>
        <w:t xml:space="preserve">— operations, certifications, public claims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Driving force</w:t>
      </w:r>
      <w:r>
        <w:t xml:space="preserve"> </w:t>
      </w:r>
      <w:r>
        <w:t xml:space="preserve">— consumer demand, regulatory, supply-chain risk, investor pressure, founder values?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 of commitment</w:t>
      </w:r>
      <w:r>
        <w:t xml:space="preserve"> </w:t>
      </w:r>
      <w:r>
        <w:t xml:space="preserve">— operations-first vs. marketing-first?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Supply chain visibility</w:t>
      </w:r>
      <w:r>
        <w:t xml:space="preserve"> </w:t>
      </w:r>
      <w:r>
        <w:t xml:space="preserve">— tier 1, tier 2, tier 3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Measurement capability</w:t>
      </w:r>
      <w:r>
        <w:t xml:space="preserve"> </w:t>
      </w:r>
      <w:r>
        <w:t xml:space="preserve">— emissions measured? Social metrics tracked?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Certifications in scope</w:t>
      </w:r>
      <w:r>
        <w:t xml:space="preserve"> </w:t>
      </w:r>
      <w:r>
        <w:t xml:space="preserve">— B-Corp, Fair Trade, Organic, etc.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Reporting ambition</w:t>
      </w:r>
      <w:r>
        <w:t xml:space="preserve"> </w:t>
      </w:r>
      <w:r>
        <w:t xml:space="preserve">— internal only, public report, financial disclosure, framework (TCFD, SASB, GRI)?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Stakeholder pressure</w:t>
      </w:r>
      <w:r>
        <w:t xml:space="preserve"> </w:t>
      </w:r>
      <w:r>
        <w:t xml:space="preserve">— investors (IR team involved?), customers (surveys, complaints?), regulators?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Competitive context</w:t>
      </w:r>
      <w:r>
        <w:t xml:space="preserve"> </w:t>
      </w:r>
      <w:r>
        <w:t xml:space="preserve">— peer-brand positioning on sustainability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 / compliance capacity</w:t>
      </w:r>
      <w:r>
        <w:t xml:space="preserve"> </w:t>
      </w:r>
      <w:r>
        <w:t xml:space="preserve">— can navigate greenwashing risk?</w:t>
      </w:r>
    </w:p>
    <w:bookmarkEnd w:id="20"/>
    <w:bookmarkStart w:id="21" w:name="Xc7ef3f53930bd61f2d7132462984b5efc8dfe88"/>
    <w:p>
      <w:pPr>
        <w:pStyle w:val="Heading2"/>
      </w:pPr>
      <w:r>
        <w:t xml:space="preserve">Step 2 — Milestone template (24-week program)</w:t>
      </w:r>
    </w:p>
    <w:p>
      <w:pPr>
        <w:pStyle w:val="SourceCode"/>
      </w:pPr>
      <w:r>
        <w:rPr>
          <w:rStyle w:val="FunctionTok"/>
        </w:rPr>
        <w:t xml:space="preserve">### M1 — Baseline Assessment (week 1-6)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emissions measurement (scope 1, 2, 3); supply chain audit; social + governance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credible, third-party-verifiable data in hand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M2 — Goal Setting + Framework Selection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science-based targets; reporting framework decision (SBTi, TCFD, SASB, etc.); certification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goals aligned with frameworks; stakeholder sign-off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M3 — Operational Improvements (week 8-20)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supply chain improvements, operational emissions reductions, social policy updates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measurable progress against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20</w:t>
      </w:r>
      <w:r>
        <w:br/>
      </w:r>
      <w:r>
        <w:br/>
      </w:r>
      <w:r>
        <w:rPr>
          <w:rStyle w:val="FunctionTok"/>
        </w:rPr>
        <w:t xml:space="preserve">### M4 — Certification Process (week 10-22)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certification applications, audits, improvements to hit thresholds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certifications obtained (or specific timeline for obtaining)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22</w:t>
      </w:r>
      <w:r>
        <w:br/>
      </w:r>
      <w:r>
        <w:br/>
      </w:r>
      <w:r>
        <w:rPr>
          <w:rStyle w:val="FunctionTok"/>
        </w:rPr>
        <w:t xml:space="preserve">### M5 — Reporting + Communication (week 18-24)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public sustainability report; website + packaging claims; marketing activation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claims legally reviewed; substantiation documented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24</w:t>
      </w:r>
      <w:r>
        <w:br/>
      </w:r>
      <w:r>
        <w:br/>
      </w:r>
      <w:r>
        <w:rPr>
          <w:rStyle w:val="FunctionTok"/>
        </w:rPr>
        <w:t xml:space="preserve">### M6 — Ongoing Program + Annual Rhythm (week 24+)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annual reporting cadence; quarterly internal review; continuous improvement cycle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self-operates; reporting calendar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ongoing</w:t>
      </w:r>
    </w:p>
    <w:bookmarkEnd w:id="21"/>
    <w:bookmarkStart w:id="22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Sustainability claims have asymmetric downside risk.</w:t>
      </w:r>
    </w:p>
    <w:p>
      <w:pPr>
        <w:pStyle w:val="BlockText"/>
      </w:pPr>
      <w:r>
        <w:t xml:space="preserve">A weak claim that's well-substantiated has small upside (customers notice, some prefer). A strong claim that's not substantiated has enormous downside (greenwashing lawsuit, regulatory penalty, customer backlash, brand damage).</w:t>
      </w:r>
    </w:p>
    <w:p>
      <w:pPr>
        <w:pStyle w:val="BlockText"/>
      </w:pPr>
      <w:r>
        <w:t xml:space="preserve">The operating rule: claim 20% less than you do; do 20% more than you claim. This builds credibility over time and protects against the rare-but-catastrophic downside.</w:t>
      </w:r>
    </w:p>
    <w:p>
      <w:pPr>
        <w:pStyle w:val="BlockText"/>
      </w:pPr>
      <w:r>
        <w:t xml:space="preserve">The brands that get this wrong either: (a) over-claim and get caught (Allbirds sustainability lawsuit, Nestlé greenwashing cases), or (b) do the work but fail to communicate (internal-only ESG programs with no consumer value capture). The middle path — authentic claims about real progress — is the only durable position.</w:t>
      </w:r>
    </w:p>
    <w:bookmarkEnd w:id="22"/>
    <w:bookmarkStart w:id="23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Emissions measurement</w:t>
      </w:r>
      <w:r>
        <w:t xml:space="preserve"> </w:t>
      </w:r>
      <w:r>
        <w:t xml:space="preserve">— third-party verified or audit-ready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Claim substantiation</w:t>
      </w:r>
      <w:r>
        <w:t xml:space="preserve"> </w:t>
      </w:r>
      <w:r>
        <w:t xml:space="preserve">— every claim has a documented basis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Certification maintenance</w:t>
      </w:r>
      <w:r>
        <w:t xml:space="preserve"> </w:t>
      </w:r>
      <w:r>
        <w:t xml:space="preserve">— audits scheduled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Supply-chain visibility</w:t>
      </w:r>
      <w:r>
        <w:t xml:space="preserve"> </w:t>
      </w:r>
      <w:r>
        <w:t xml:space="preserve">— tier 1 full, tier 2 increasing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Legal review</w:t>
      </w:r>
      <w:r>
        <w:t xml:space="preserve"> </w:t>
      </w:r>
      <w:r>
        <w:t xml:space="preserve">— all public claims reviewed before publish</w:t>
      </w:r>
    </w:p>
    <w:bookmarkEnd w:id="23"/>
    <w:bookmarkStart w:id="24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claim without substantiation</w:t>
      </w:r>
      <w:r>
        <w:t xml:space="preserve"> </w:t>
      </w:r>
      <w:r>
        <w:t xml:space="preserve">— file on every claim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use FTC-scrutinized words generically</w:t>
      </w:r>
      <w:r>
        <w:t xml:space="preserve"> </w:t>
      </w:r>
      <w:r>
        <w:t xml:space="preserve">— "sustainable" / "eco-friendly" / "green" need specifics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certify then stop improving</w:t>
      </w:r>
      <w:r>
        <w:t xml:space="preserve"> </w:t>
      </w:r>
      <w:r>
        <w:t xml:space="preserve">— continuous improvement is part of most certifications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Never communicate externally before operations support claims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third-party verify</w:t>
      </w:r>
      <w:r>
        <w:t xml:space="preserve"> </w:t>
      </w:r>
      <w:r>
        <w:t xml:space="preserve">major claims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coordinate legal + marketing + operations</w:t>
      </w:r>
      <w:r>
        <w:t xml:space="preserve"> </w:t>
      </w:r>
      <w:r>
        <w:t xml:space="preserve">— siloed ESG programs produce greenwashing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Always document progress</w:t>
      </w:r>
      <w:r>
        <w:t xml:space="preserve"> </w:t>
      </w:r>
      <w:r>
        <w:t xml:space="preserve">— year-over-year narrative is the credibility build</w:t>
      </w:r>
    </w:p>
    <w:bookmarkEnd w:id="24"/>
    <w:bookmarkStart w:id="2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sustainability narrative frameworks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retailer sustainability requirements (Target + Whole Foods increasingly require)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competitor positioning research</w:t>
      </w:r>
    </w:p>
    <w:bookmarkEnd w:id="25"/>
    <w:bookmarkStart w:id="26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"B-Corp certification for $50M DTC brand — 24-week program to 80+ BIA score"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"Scope 3 emissions measurement + reduction for CPG brand — 18-month program"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"Supply-chain transparency overhaul for apparel brand — tier 1 + tier 2 full visibility"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"Sustainability claims audit + remediation after FTC inquiry"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"Climate reporting launch — TCFD-aligned annual report for private company preparing for IPO"</w:t>
      </w:r>
    </w:p>
    <w:bookmarkEnd w:id="26"/>
    <w:bookmarkStart w:id="27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~/.claude/templates/growth-ecommerce/sustainability-esg/resumption.md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