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b5bdd19a3f7439989b44a1159500eff9fb9f8a0"/>
    <w:p>
      <w:pPr>
        <w:pStyle w:val="Heading1"/>
      </w:pPr>
      <w:r>
        <w:t xml:space="preserve">Sustainability / ESG — Deep Research Template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~/.claude/templates/deep-research-competitive-landscape.md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deep-research-technical-reference.md</w:t>
      </w:r>
    </w:p>
    <w:p>
      <w:r>
        <w:pict>
          <v:rect style="width:0;height:1.5pt" o:hralign="center" o:hrstd="t" o:hr="t"/>
        </w:pict>
      </w:r>
    </w:p>
    <w:bookmarkStart w:id="9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Certification landscape research</w:t>
      </w:r>
      <w:r>
        <w:t xml:space="preserve"> </w:t>
      </w:r>
      <w:r>
        <w:t xml:space="preserve">— which certifications fit your brand + category?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 3 measurement methodology</w:t>
      </w:r>
      <w:r>
        <w:t xml:space="preserve"> </w:t>
      </w:r>
      <w:r>
        <w:t xml:space="preserve">— how to measure supply-chain emissions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Regulatory landscape</w:t>
      </w:r>
      <w:r>
        <w:t xml:space="preserve"> </w:t>
      </w:r>
      <w:r>
        <w:t xml:space="preserve">— FTC Green Guides, EU Green Claims Directive, UK CMA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Competitor ESG positioning teardown</w:t>
      </w:r>
      <w:r>
        <w:t xml:space="preserve"> </w:t>
      </w:r>
      <w:r>
        <w:t xml:space="preserve">— how are peers positioning + reporting?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Reporting framework selection</w:t>
      </w:r>
      <w:r>
        <w:t xml:space="preserve"> </w:t>
      </w:r>
      <w:r>
        <w:t xml:space="preserve">— TCFD vs. SASB vs. GRI vs. combinations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Greenwashing case study research</w:t>
      </w:r>
      <w:r>
        <w:t xml:space="preserve"> </w:t>
      </w:r>
      <w:r>
        <w:t xml:space="preserve">— what's triggered enforcement / lawsuits</w:t>
      </w:r>
    </w:p>
    <w:bookmarkEnd w:id="9"/>
    <w:bookmarkStart w:id="10" w:name="opinionated-source-priorities"/>
    <w:p>
      <w:pPr>
        <w:pStyle w:val="Heading2"/>
      </w:pPr>
      <w:r>
        <w:t xml:space="preserve">Opinionated source priorities</w:t>
      </w:r>
    </w:p>
    <w:p>
      <w:pPr>
        <w:pStyle w:val="FirstParagraph"/>
      </w:pPr>
      <w:r>
        <w:rPr>
          <w:b/>
          <w:bCs/>
        </w:rPr>
        <w:t xml:space="preserve">Prioritize: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Official regulatory sources</w:t>
      </w:r>
      <w:r>
        <w:t xml:space="preserve"> </w:t>
      </w:r>
      <w:r>
        <w:t xml:space="preserve">— FTC Green Guides, EU Commission, UK CMA, SEC climate-rule proposals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Standard-setters' publications</w:t>
      </w:r>
      <w:r>
        <w:t xml:space="preserve"> </w:t>
      </w:r>
      <w:r>
        <w:t xml:space="preserve">— SBTi, TCFD, SASB, GRI, CDP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B-Lab + B-Corp community</w:t>
      </w:r>
      <w:r>
        <w:t xml:space="preserve"> </w:t>
      </w:r>
      <w:r>
        <w:t xml:space="preserve">— certification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Academic research on ESG</w:t>
      </w:r>
      <w:r>
        <w:t xml:space="preserve"> </w:t>
      </w:r>
      <w:r>
        <w:t xml:space="preserve">— MIT Sloan, Harvard, Yale Center for Business + Environment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Industry-specific sustainability reports</w:t>
      </w:r>
      <w:r>
        <w:t xml:space="preserve"> </w:t>
      </w:r>
      <w:r>
        <w:t xml:space="preserve">— Textile Exchange (apparel), Ellen MacArthur Foundation (circular), World Business Council for Sustainable Development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Journalistic investigation</w:t>
      </w:r>
      <w:r>
        <w:t xml:space="preserve"> </w:t>
      </w:r>
      <w:r>
        <w:t xml:space="preserve">— Bloomberg Green, Reuters Sustainability, The Guardian Environment</w:t>
      </w:r>
    </w:p>
    <w:p>
      <w:pPr>
        <w:pStyle w:val="FirstParagraph"/>
      </w:pPr>
      <w:r>
        <w:rPr>
          <w:b/>
          <w:bCs/>
        </w:rPr>
        <w:t xml:space="preserve">De-prioritize:</w:t>
      </w:r>
    </w:p>
    <w:p>
      <w:pPr>
        <w:pStyle w:val="Compact"/>
        <w:numPr>
          <w:ilvl w:val="0"/>
          <w:numId w:val="1003"/>
        </w:numPr>
      </w:pPr>
      <w:r>
        <w:t xml:space="preserve">Brand-published sustainability marketing</w:t>
      </w:r>
    </w:p>
    <w:p>
      <w:pPr>
        <w:pStyle w:val="Compact"/>
        <w:numPr>
          <w:ilvl w:val="0"/>
          <w:numId w:val="1003"/>
        </w:numPr>
      </w:pPr>
      <w:r>
        <w:t xml:space="preserve">Agency-published "how to be sustainable" content</w:t>
      </w:r>
    </w:p>
    <w:p>
      <w:pPr>
        <w:pStyle w:val="Compact"/>
        <w:numPr>
          <w:ilvl w:val="0"/>
          <w:numId w:val="1003"/>
        </w:numPr>
      </w:pPr>
      <w:r>
        <w:t xml:space="preserve">AI-generated ESG content</w:t>
      </w:r>
    </w:p>
    <w:bookmarkEnd w:id="10"/>
    <w:bookmarkStart w:id="16" w:name="question-set-specializations"/>
    <w:p>
      <w:pPr>
        <w:pStyle w:val="Heading2"/>
      </w:pPr>
      <w:r>
        <w:t xml:space="preserve">Question-set specializations</w:t>
      </w:r>
    </w:p>
    <w:bookmarkStart w:id="11" w:name="for-certification-landscape"/>
    <w:p>
      <w:pPr>
        <w:pStyle w:val="Heading3"/>
      </w:pPr>
      <w:r>
        <w:t xml:space="preserve">For certification landscape:</w:t>
      </w:r>
    </w:p>
    <w:p>
      <w:pPr>
        <w:pStyle w:val="Compact"/>
        <w:numPr>
          <w:ilvl w:val="0"/>
          <w:numId w:val="1004"/>
        </w:numPr>
      </w:pPr>
      <w:r>
        <w:t xml:space="preserve">Certification options by category + ambition level</w:t>
      </w:r>
    </w:p>
    <w:p>
      <w:pPr>
        <w:pStyle w:val="Compact"/>
        <w:numPr>
          <w:ilvl w:val="0"/>
          <w:numId w:val="1004"/>
        </w:numPr>
      </w:pPr>
      <w:r>
        <w:t xml:space="preserve">BIA / rubric requirements</w:t>
      </w:r>
    </w:p>
    <w:p>
      <w:pPr>
        <w:pStyle w:val="Compact"/>
        <w:numPr>
          <w:ilvl w:val="0"/>
          <w:numId w:val="1004"/>
        </w:numPr>
      </w:pPr>
      <w:r>
        <w:t xml:space="preserve">Application fee + audit cost</w:t>
      </w:r>
    </w:p>
    <w:p>
      <w:pPr>
        <w:pStyle w:val="Compact"/>
        <w:numPr>
          <w:ilvl w:val="0"/>
          <w:numId w:val="1004"/>
        </w:numPr>
      </w:pPr>
      <w:r>
        <w:t xml:space="preserve">Timeline to certification</w:t>
      </w:r>
    </w:p>
    <w:p>
      <w:pPr>
        <w:pStyle w:val="Compact"/>
        <w:numPr>
          <w:ilvl w:val="0"/>
          <w:numId w:val="1004"/>
        </w:numPr>
      </w:pPr>
      <w:r>
        <w:t xml:space="preserve">Renewal / audit cadence</w:t>
      </w:r>
    </w:p>
    <w:p>
      <w:pPr>
        <w:pStyle w:val="Compact"/>
        <w:numPr>
          <w:ilvl w:val="0"/>
          <w:numId w:val="1004"/>
        </w:numPr>
      </w:pPr>
      <w:r>
        <w:t xml:space="preserve">Brand-value lift (if measurable)</w:t>
      </w:r>
    </w:p>
    <w:p>
      <w:pPr>
        <w:pStyle w:val="Compact"/>
        <w:numPr>
          <w:ilvl w:val="0"/>
          <w:numId w:val="1004"/>
        </w:numPr>
      </w:pPr>
      <w:r>
        <w:t xml:space="preserve">Retail-partner acceptance (does Whole Foods require this? does Target?)</w:t>
      </w:r>
    </w:p>
    <w:bookmarkEnd w:id="11"/>
    <w:bookmarkStart w:id="12" w:name="for-scope-3-methodology"/>
    <w:p>
      <w:pPr>
        <w:pStyle w:val="Heading3"/>
      </w:pPr>
      <w:r>
        <w:t xml:space="preserve">For scope 3 methodology:</w:t>
      </w:r>
    </w:p>
    <w:p>
      <w:pPr>
        <w:pStyle w:val="Compact"/>
        <w:numPr>
          <w:ilvl w:val="0"/>
          <w:numId w:val="1005"/>
        </w:numPr>
      </w:pPr>
      <w:r>
        <w:t xml:space="preserve">GHG Protocol scope 3 categories</w:t>
      </w:r>
    </w:p>
    <w:p>
      <w:pPr>
        <w:pStyle w:val="Compact"/>
        <w:numPr>
          <w:ilvl w:val="0"/>
          <w:numId w:val="1005"/>
        </w:numPr>
      </w:pPr>
      <w:r>
        <w:t xml:space="preserve">Supplier-specific vs. spend-based emission factors</w:t>
      </w:r>
    </w:p>
    <w:p>
      <w:pPr>
        <w:pStyle w:val="Compact"/>
        <w:numPr>
          <w:ilvl w:val="0"/>
          <w:numId w:val="1005"/>
        </w:numPr>
      </w:pPr>
      <w:r>
        <w:t xml:space="preserve">Product carbon footprint (PCF) vs. organizational</w:t>
      </w:r>
    </w:p>
    <w:p>
      <w:pPr>
        <w:pStyle w:val="Compact"/>
        <w:numPr>
          <w:ilvl w:val="0"/>
          <w:numId w:val="1005"/>
        </w:numPr>
      </w:pPr>
      <w:r>
        <w:t xml:space="preserve">Primary vs. secondary data tradeoffs</w:t>
      </w:r>
    </w:p>
    <w:p>
      <w:pPr>
        <w:pStyle w:val="Compact"/>
        <w:numPr>
          <w:ilvl w:val="0"/>
          <w:numId w:val="1005"/>
        </w:numPr>
      </w:pPr>
      <w:r>
        <w:t xml:space="preserve">Measurement platforms (Watershed, Persefoni, Sustain.Life, Greenly)</w:t>
      </w:r>
    </w:p>
    <w:p>
      <w:pPr>
        <w:pStyle w:val="Compact"/>
        <w:numPr>
          <w:ilvl w:val="0"/>
          <w:numId w:val="1005"/>
        </w:numPr>
      </w:pPr>
      <w:r>
        <w:t xml:space="preserve">Verification standards (ISAE 3410, ISO 14064)</w:t>
      </w:r>
    </w:p>
    <w:bookmarkEnd w:id="12"/>
    <w:bookmarkStart w:id="13" w:name="for-regulatory-landscape"/>
    <w:p>
      <w:pPr>
        <w:pStyle w:val="Heading3"/>
      </w:pPr>
      <w:r>
        <w:t xml:space="preserve">For regulatory landscape:</w:t>
      </w:r>
    </w:p>
    <w:p>
      <w:pPr>
        <w:pStyle w:val="Compact"/>
        <w:numPr>
          <w:ilvl w:val="0"/>
          <w:numId w:val="1006"/>
        </w:numPr>
      </w:pPr>
      <w:r>
        <w:t xml:space="preserve">FTC Green Guides — current + pending revisions</w:t>
      </w:r>
    </w:p>
    <w:p>
      <w:pPr>
        <w:pStyle w:val="Compact"/>
        <w:numPr>
          <w:ilvl w:val="0"/>
          <w:numId w:val="1006"/>
        </w:numPr>
      </w:pPr>
      <w:r>
        <w:t xml:space="preserve">EU Green Claims Directive — implementation timeline</w:t>
      </w:r>
    </w:p>
    <w:p>
      <w:pPr>
        <w:pStyle w:val="Compact"/>
        <w:numPr>
          <w:ilvl w:val="0"/>
          <w:numId w:val="1006"/>
        </w:numPr>
      </w:pPr>
      <w:r>
        <w:t xml:space="preserve">UK CMA greenwashing enforcement actions</w:t>
      </w:r>
    </w:p>
    <w:p>
      <w:pPr>
        <w:pStyle w:val="Compact"/>
        <w:numPr>
          <w:ilvl w:val="0"/>
          <w:numId w:val="1006"/>
        </w:numPr>
      </w:pPr>
      <w:r>
        <w:t xml:space="preserve">SEC climate disclosure rules</w:t>
      </w:r>
    </w:p>
    <w:p>
      <w:pPr>
        <w:pStyle w:val="Compact"/>
        <w:numPr>
          <w:ilvl w:val="0"/>
          <w:numId w:val="1006"/>
        </w:numPr>
      </w:pPr>
      <w:r>
        <w:t xml:space="preserve">State-level (California, Colorado) sustainability requirements</w:t>
      </w:r>
    </w:p>
    <w:p>
      <w:pPr>
        <w:pStyle w:val="Compact"/>
        <w:numPr>
          <w:ilvl w:val="0"/>
          <w:numId w:val="1006"/>
        </w:numPr>
      </w:pPr>
      <w:r>
        <w:t xml:space="preserve">International patchwork — Australia, Canada, Japan sustainability regulation</w:t>
      </w:r>
    </w:p>
    <w:bookmarkEnd w:id="13"/>
    <w:bookmarkStart w:id="14" w:name="for-competitor-teardown"/>
    <w:p>
      <w:pPr>
        <w:pStyle w:val="Heading3"/>
      </w:pPr>
      <w:r>
        <w:t xml:space="preserve">For competitor teardown:</w:t>
      </w:r>
    </w:p>
    <w:p>
      <w:pPr>
        <w:pStyle w:val="Compact"/>
        <w:numPr>
          <w:ilvl w:val="0"/>
          <w:numId w:val="1007"/>
        </w:numPr>
      </w:pPr>
      <w:r>
        <w:t xml:space="preserve">Public claims + substantiation visible</w:t>
      </w:r>
    </w:p>
    <w:p>
      <w:pPr>
        <w:pStyle w:val="Compact"/>
        <w:numPr>
          <w:ilvl w:val="0"/>
          <w:numId w:val="1007"/>
        </w:numPr>
      </w:pPr>
      <w:r>
        <w:t xml:space="preserve">Certifications held</w:t>
      </w:r>
    </w:p>
    <w:p>
      <w:pPr>
        <w:pStyle w:val="Compact"/>
        <w:numPr>
          <w:ilvl w:val="0"/>
          <w:numId w:val="1007"/>
        </w:numPr>
      </w:pPr>
      <w:r>
        <w:t xml:space="preserve">Reports published + framework used</w:t>
      </w:r>
    </w:p>
    <w:p>
      <w:pPr>
        <w:pStyle w:val="Compact"/>
        <w:numPr>
          <w:ilvl w:val="0"/>
          <w:numId w:val="1007"/>
        </w:numPr>
      </w:pPr>
      <w:r>
        <w:t xml:space="preserve">Supply-chain transparency disclosures</w:t>
      </w:r>
    </w:p>
    <w:p>
      <w:pPr>
        <w:pStyle w:val="Compact"/>
        <w:numPr>
          <w:ilvl w:val="0"/>
          <w:numId w:val="1007"/>
        </w:numPr>
      </w:pPr>
      <w:r>
        <w:t xml:space="preserve">Operational improvements documented</w:t>
      </w:r>
    </w:p>
    <w:p>
      <w:pPr>
        <w:pStyle w:val="Compact"/>
        <w:numPr>
          <w:ilvl w:val="0"/>
          <w:numId w:val="1007"/>
        </w:numPr>
      </w:pPr>
      <w:r>
        <w:t xml:space="preserve">Stakeholder communication patterns</w:t>
      </w:r>
    </w:p>
    <w:bookmarkEnd w:id="14"/>
    <w:bookmarkStart w:id="15" w:name="for-greenwashing-case-study"/>
    <w:p>
      <w:pPr>
        <w:pStyle w:val="Heading3"/>
      </w:pPr>
      <w:r>
        <w:t xml:space="preserve">For greenwashing case study:</w:t>
      </w:r>
    </w:p>
    <w:p>
      <w:pPr>
        <w:pStyle w:val="Compact"/>
        <w:numPr>
          <w:ilvl w:val="0"/>
          <w:numId w:val="1008"/>
        </w:numPr>
      </w:pPr>
      <w:r>
        <w:t xml:space="preserve">Lawsuit / enforcement specifics</w:t>
      </w:r>
    </w:p>
    <w:p>
      <w:pPr>
        <w:pStyle w:val="Compact"/>
        <w:numPr>
          <w:ilvl w:val="0"/>
          <w:numId w:val="1008"/>
        </w:numPr>
      </w:pPr>
      <w:r>
        <w:t xml:space="preserve">Claims that triggered action</w:t>
      </w:r>
    </w:p>
    <w:p>
      <w:pPr>
        <w:pStyle w:val="Compact"/>
        <w:numPr>
          <w:ilvl w:val="0"/>
          <w:numId w:val="1008"/>
        </w:numPr>
      </w:pPr>
      <w:r>
        <w:t xml:space="preserve">Substantiation gaps identified</w:t>
      </w:r>
    </w:p>
    <w:p>
      <w:pPr>
        <w:pStyle w:val="Compact"/>
        <w:numPr>
          <w:ilvl w:val="0"/>
          <w:numId w:val="1008"/>
        </w:numPr>
      </w:pPr>
      <w:r>
        <w:t xml:space="preserve">Settlement / penalty details</w:t>
      </w:r>
    </w:p>
    <w:p>
      <w:pPr>
        <w:pStyle w:val="Compact"/>
        <w:numPr>
          <w:ilvl w:val="0"/>
          <w:numId w:val="1008"/>
        </w:numPr>
      </w:pPr>
      <w:r>
        <w:t xml:space="preserve">Industry ripple effects</w:t>
      </w:r>
    </w:p>
    <w:bookmarkEnd w:id="15"/>
    <w:bookmarkEnd w:id="16"/>
    <w:bookmarkStart w:id="17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{{KNOWLEDGE_BASE_ROOT}}/content-and-edtech/wiki/_index.md</w:t>
      </w:r>
      <w:r>
        <w:t xml:space="preserve"> </w:t>
      </w:r>
      <w:r>
        <w:t xml:space="preserve">— sustainability narrative + communication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{{KNOWLEDGE_BASE_ROOT}}/product-research-and-competitive-intelligence/wiki/_index.md</w:t>
      </w:r>
      <w:r>
        <w:t xml:space="preserve"> </w:t>
      </w:r>
      <w:r>
        <w:t xml:space="preserve">— competitive analysis methodology</w:t>
      </w:r>
    </w:p>
    <w:bookmarkEnd w:id="17"/>
    <w:bookmarkStart w:id="18" w:name="example-filled-in-briefs"/>
    <w:p>
      <w:pPr>
        <w:pStyle w:val="Heading2"/>
      </w:pPr>
      <w:r>
        <w:t xml:space="preserve">Example filled-in briefs</w:t>
      </w:r>
    </w:p>
    <w:p>
      <w:pPr>
        <w:pStyle w:val="Compact"/>
        <w:numPr>
          <w:ilvl w:val="0"/>
          <w:numId w:val="1010"/>
        </w:numPr>
      </w:pPr>
      <w:r>
        <w:t xml:space="preserve">"Research B-Corp certification process for $30M DTC beauty brand — BIA assessment, timeline, operational requirements, similar-scale brands' experience"</w:t>
      </w:r>
    </w:p>
    <w:p>
      <w:pPr>
        <w:pStyle w:val="Compact"/>
        <w:numPr>
          <w:ilvl w:val="0"/>
          <w:numId w:val="1010"/>
        </w:numPr>
      </w:pPr>
      <w:r>
        <w:t xml:space="preserve">"Research scope 3 emissions measurement for apparel brand — methodology choices, measurement platforms, verification standards, peer-brand disclosures"</w:t>
      </w:r>
    </w:p>
    <w:p>
      <w:pPr>
        <w:pStyle w:val="Compact"/>
        <w:numPr>
          <w:ilvl w:val="0"/>
          <w:numId w:val="1010"/>
        </w:numPr>
      </w:pPr>
      <w:r>
        <w:t xml:space="preserve">"Research FTC Green Guides 2025 revisions + EU Green Claims Directive — regulatory timeline, claim requirements, enforcement patterns"</w:t>
      </w:r>
    </w:p>
    <w:p>
      <w:pPr>
        <w:pStyle w:val="Compact"/>
        <w:numPr>
          <w:ilvl w:val="0"/>
          <w:numId w:val="1010"/>
        </w:numPr>
      </w:pPr>
      <w:r>
        <w:t xml:space="preserve">"Teardown ESG positioning at top 10 premium beauty brands</w:t>
      </w:r>
      <w:r>
        <w:t xml:space="preserve"> </w:t>
      </w:r>
      <m:oMath>
        <m:r>
          <m:t>50</m:t>
        </m:r>
        <m:r>
          <m:rPr>
            <m:sty m:val="p"/>
          </m:rPr>
          <m:t>−</m:t>
        </m:r>
      </m:oMath>
      <w:r>
        <w:t xml:space="preserve">200M — claims, certifications, reports, substantiation visibility"</w:t>
      </w:r>
    </w:p>
    <w:p>
      <w:pPr>
        <w:pStyle w:val="Compact"/>
        <w:numPr>
          <w:ilvl w:val="0"/>
          <w:numId w:val="1010"/>
        </w:numPr>
      </w:pPr>
      <w:r>
        <w:t xml:space="preserve">"Research reporting framework selection — TCFD vs. SASB vs. GRI vs. multi-framework — for private DTC brand preparing for IPO in 18 months"</w:t>
      </w:r>
    </w:p>
    <w:p>
      <w:pPr>
        <w:pStyle w:val="Compact"/>
        <w:numPr>
          <w:ilvl w:val="0"/>
          <w:numId w:val="1010"/>
        </w:numPr>
      </w:pPr>
      <w:r>
        <w:t xml:space="preserve">"Research greenwashing case studies 2022-2026 — lawsuits, settlements, enforcement; patterns and prevention"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2026-04-15T22:46:40Z</dcterms:created>
  <dcterms:modified xsi:type="dcterms:W3CDTF">2026-04-15T22:46:40Z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