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ustainability--esg--resumption"/>
    <w:p>
      <w:pPr>
        <w:pStyle w:val="Heading1"/>
      </w:pPr>
      <w:r>
        <w:t xml:space="preserve">Sustainability / ESG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"B-Corp recertification audit prep"</w:t>
      </w:r>
    </w:p>
    <w:p>
      <w:pPr>
        <w:pStyle w:val="Compact"/>
        <w:numPr>
          <w:ilvl w:val="0"/>
          <w:numId w:val="1001"/>
        </w:numPr>
      </w:pPr>
      <w:r>
        <w:t xml:space="preserve">"Scope 3 emissions inventory annual refresh"</w:t>
      </w:r>
    </w:p>
    <w:p>
      <w:pPr>
        <w:pStyle w:val="Compact"/>
        <w:numPr>
          <w:ilvl w:val="0"/>
          <w:numId w:val="1001"/>
        </w:numPr>
      </w:pPr>
      <w:r>
        <w:t xml:space="preserve">"Supply-chain tier 2 visibility project"</w:t>
      </w:r>
    </w:p>
    <w:p>
      <w:pPr>
        <w:pStyle w:val="Compact"/>
        <w:numPr>
          <w:ilvl w:val="0"/>
          <w:numId w:val="1001"/>
        </w:numPr>
      </w:pPr>
      <w:r>
        <w:t xml:space="preserve">"Sustainability report drafting"</w:t>
      </w:r>
    </w:p>
    <w:p>
      <w:pPr>
        <w:pStyle w:val="Compact"/>
        <w:numPr>
          <w:ilvl w:val="0"/>
          <w:numId w:val="1001"/>
        </w:numPr>
      </w:pPr>
      <w:r>
        <w:t xml:space="preserve">"FTC Green Guides compliance review"</w:t>
      </w:r>
    </w:p>
    <w:p>
      <w:pPr>
        <w:pStyle w:val="Compact"/>
        <w:numPr>
          <w:ilvl w:val="0"/>
          <w:numId w:val="1001"/>
        </w:numPr>
      </w:pPr>
      <w:r>
        <w:t xml:space="preserve">"Greenwashing-risk audit of current marketing claims"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regulatory inquiry / legal notice active?</w:t>
      </w:r>
      <w:r>
        <w:t xml:space="preserve"> </w:t>
      </w:r>
      <w:r>
        <w:t xml:space="preserve">Priority — resolve before advancing program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certification audit upcoming in next 60 days?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supply-chain incident</w:t>
      </w:r>
      <w:r>
        <w:t xml:space="preserve"> </w:t>
      </w:r>
      <w:r>
        <w:t xml:space="preserve">(violation, media coverage) requiring response?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marketing claim pending publish</w:t>
      </w:r>
      <w:r>
        <w:t xml:space="preserve"> </w:t>
      </w:r>
      <w:r>
        <w:t xml:space="preserve">that needs legal + substantiation review?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stakeholder deadline</w:t>
      </w:r>
      <w:r>
        <w:t xml:space="preserve"> </w:t>
      </w:r>
      <w:r>
        <w:t xml:space="preserve">(investor report, RFP response, retail-partner submission)?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greenwashing-risk-audit"/>
    <w:p>
      <w:pPr>
        <w:pStyle w:val="Heading3"/>
      </w:pPr>
      <w:r>
        <w:t xml:space="preserve">If greenwashing-risk audit</w:t>
      </w:r>
    </w:p>
    <w:p>
      <w:pPr>
        <w:pStyle w:val="FirstParagraph"/>
      </w:pPr>
      <w:r>
        <w:t xml:space="preserve">Systematic review:</w:t>
      </w:r>
    </w:p>
    <w:p>
      <w:pPr>
        <w:pStyle w:val="Compact"/>
        <w:numPr>
          <w:ilvl w:val="0"/>
          <w:numId w:val="1003"/>
        </w:numPr>
      </w:pPr>
      <w:r>
        <w:t xml:space="preserve">Every public claim catalog</w:t>
      </w:r>
    </w:p>
    <w:p>
      <w:pPr>
        <w:pStyle w:val="Compact"/>
        <w:numPr>
          <w:ilvl w:val="0"/>
          <w:numId w:val="1003"/>
        </w:numPr>
      </w:pPr>
      <w:r>
        <w:t xml:space="preserve">Substantiation documented per claim</w:t>
      </w:r>
    </w:p>
    <w:p>
      <w:pPr>
        <w:pStyle w:val="Compact"/>
        <w:numPr>
          <w:ilvl w:val="0"/>
          <w:numId w:val="1003"/>
        </w:numPr>
      </w:pPr>
      <w:r>
        <w:t xml:space="preserve">Claims without substantiation — kill or substantiate</w:t>
      </w:r>
    </w:p>
    <w:p>
      <w:pPr>
        <w:pStyle w:val="Compact"/>
        <w:numPr>
          <w:ilvl w:val="0"/>
          <w:numId w:val="1003"/>
        </w:numPr>
      </w:pPr>
      <w:r>
        <w:t xml:space="preserve">FTC Green Guides specifically — generic terms ("sustainable," "eco-friendly") need specifics</w:t>
      </w:r>
    </w:p>
    <w:p>
      <w:pPr>
        <w:pStyle w:val="Compact"/>
        <w:numPr>
          <w:ilvl w:val="0"/>
          <w:numId w:val="1003"/>
        </w:numPr>
      </w:pPr>
      <w:r>
        <w:t xml:space="preserve">Packaging + website + marketing materials comprehensive sweep</w:t>
      </w:r>
    </w:p>
    <w:p>
      <w:pPr>
        <w:pStyle w:val="Compact"/>
        <w:numPr>
          <w:ilvl w:val="0"/>
          <w:numId w:val="1003"/>
        </w:numPr>
      </w:pPr>
      <w:r>
        <w:t xml:space="preserve">Internal training so claims don't recur without substantiation</w:t>
      </w:r>
    </w:p>
    <w:bookmarkEnd w:id="11"/>
    <w:bookmarkStart w:id="12" w:name="if-certification-in-flight"/>
    <w:p>
      <w:pPr>
        <w:pStyle w:val="Heading3"/>
      </w:pPr>
      <w:r>
        <w:t xml:space="preserve">If certification in flight</w:t>
      </w:r>
    </w:p>
    <w:p>
      <w:pPr>
        <w:pStyle w:val="FirstParagraph"/>
      </w:pPr>
      <w:r>
        <w:t xml:space="preserve">Standard audit prep:</w:t>
      </w:r>
    </w:p>
    <w:p>
      <w:pPr>
        <w:pStyle w:val="Compact"/>
        <w:numPr>
          <w:ilvl w:val="0"/>
          <w:numId w:val="1004"/>
        </w:numPr>
      </w:pPr>
      <w:r>
        <w:t xml:space="preserve">BIA / framework gap analysis</w:t>
      </w:r>
    </w:p>
    <w:p>
      <w:pPr>
        <w:pStyle w:val="Compact"/>
        <w:numPr>
          <w:ilvl w:val="0"/>
          <w:numId w:val="1004"/>
        </w:numPr>
      </w:pPr>
      <w:r>
        <w:t xml:space="preserve">Documentation collection</w:t>
      </w:r>
    </w:p>
    <w:p>
      <w:pPr>
        <w:pStyle w:val="Compact"/>
        <w:numPr>
          <w:ilvl w:val="0"/>
          <w:numId w:val="1004"/>
        </w:numPr>
      </w:pPr>
      <w:r>
        <w:t xml:space="preserve">Operational improvements required</w:t>
      </w:r>
    </w:p>
    <w:p>
      <w:pPr>
        <w:pStyle w:val="Compact"/>
        <w:numPr>
          <w:ilvl w:val="0"/>
          <w:numId w:val="1004"/>
        </w:numPr>
      </w:pPr>
      <w:r>
        <w:t xml:space="preserve">Timeline to submission</w:t>
      </w:r>
    </w:p>
    <w:p>
      <w:pPr>
        <w:pStyle w:val="Compact"/>
        <w:numPr>
          <w:ilvl w:val="0"/>
          <w:numId w:val="1004"/>
        </w:numPr>
      </w:pPr>
      <w:r>
        <w:t xml:space="preserve">Post-certification improvement commitments</w:t>
      </w:r>
    </w:p>
    <w:bookmarkEnd w:id="12"/>
    <w:bookmarkStart w:id="13" w:name="if-annual-reporting-due"/>
    <w:p>
      <w:pPr>
        <w:pStyle w:val="Heading3"/>
      </w:pPr>
      <w:r>
        <w:t xml:space="preserve">If annual reporting due</w:t>
      </w:r>
    </w:p>
    <w:p>
      <w:pPr>
        <w:pStyle w:val="FirstParagraph"/>
      </w:pPr>
      <w:r>
        <w:t xml:space="preserve">Standard cycle:</w:t>
      </w:r>
    </w:p>
    <w:p>
      <w:pPr>
        <w:pStyle w:val="Compact"/>
        <w:numPr>
          <w:ilvl w:val="0"/>
          <w:numId w:val="1005"/>
        </w:numPr>
      </w:pPr>
      <w:r>
        <w:t xml:space="preserve">Data collection — emissions, social, governance</w:t>
      </w:r>
    </w:p>
    <w:p>
      <w:pPr>
        <w:pStyle w:val="Compact"/>
        <w:numPr>
          <w:ilvl w:val="0"/>
          <w:numId w:val="1005"/>
        </w:numPr>
      </w:pPr>
      <w:r>
        <w:t xml:space="preserve">Year-over-year comparison + narrative</w:t>
      </w:r>
    </w:p>
    <w:p>
      <w:pPr>
        <w:pStyle w:val="Compact"/>
        <w:numPr>
          <w:ilvl w:val="0"/>
          <w:numId w:val="1005"/>
        </w:numPr>
      </w:pPr>
      <w:r>
        <w:t xml:space="preserve">Progress vs. SBTi / stated goals</w:t>
      </w:r>
    </w:p>
    <w:p>
      <w:pPr>
        <w:pStyle w:val="Compact"/>
        <w:numPr>
          <w:ilvl w:val="0"/>
          <w:numId w:val="1005"/>
        </w:numPr>
      </w:pPr>
      <w:r>
        <w:t xml:space="preserve">Report drafting + design</w:t>
      </w:r>
    </w:p>
    <w:p>
      <w:pPr>
        <w:pStyle w:val="Compact"/>
        <w:numPr>
          <w:ilvl w:val="0"/>
          <w:numId w:val="1005"/>
        </w:numPr>
      </w:pPr>
      <w:r>
        <w:t xml:space="preserve">Legal review</w:t>
      </w:r>
    </w:p>
    <w:p>
      <w:pPr>
        <w:pStyle w:val="Compact"/>
        <w:numPr>
          <w:ilvl w:val="0"/>
          <w:numId w:val="1005"/>
        </w:numPr>
      </w:pPr>
      <w:r>
        <w:t xml:space="preserve">Publication + stakeholder distribution</w:t>
      </w:r>
    </w:p>
    <w:bookmarkEnd w:id="13"/>
    <w:bookmarkStart w:id="14" w:name="if-supplier-incident"/>
    <w:p>
      <w:pPr>
        <w:pStyle w:val="Heading3"/>
      </w:pPr>
      <w:r>
        <w:t xml:space="preserve">If supplier incident</w:t>
      </w:r>
    </w:p>
    <w:p>
      <w:pPr>
        <w:pStyle w:val="FirstParagraph"/>
      </w:pPr>
      <w:r>
        <w:t xml:space="preserve">Speed + discipline:</w:t>
      </w:r>
    </w:p>
    <w:p>
      <w:pPr>
        <w:pStyle w:val="Compact"/>
        <w:numPr>
          <w:ilvl w:val="0"/>
          <w:numId w:val="1006"/>
        </w:numPr>
      </w:pPr>
      <w:r>
        <w:t xml:space="preserve">Incident scope + facts</w:t>
      </w:r>
    </w:p>
    <w:p>
      <w:pPr>
        <w:pStyle w:val="Compact"/>
        <w:numPr>
          <w:ilvl w:val="0"/>
          <w:numId w:val="1006"/>
        </w:numPr>
      </w:pPr>
      <w:r>
        <w:t xml:space="preserve">Remediation plan with supplier</w:t>
      </w:r>
    </w:p>
    <w:p>
      <w:pPr>
        <w:pStyle w:val="Compact"/>
        <w:numPr>
          <w:ilvl w:val="0"/>
          <w:numId w:val="1006"/>
        </w:numPr>
      </w:pPr>
      <w:r>
        <w:t xml:space="preserve">Public statement (if applicable)</w:t>
      </w:r>
    </w:p>
    <w:p>
      <w:pPr>
        <w:pStyle w:val="Compact"/>
        <w:numPr>
          <w:ilvl w:val="0"/>
          <w:numId w:val="1006"/>
        </w:numPr>
      </w:pPr>
      <w:r>
        <w:t xml:space="preserve">Audit other suppliers for similar risk</w:t>
      </w:r>
    </w:p>
    <w:p>
      <w:pPr>
        <w:pStyle w:val="Compact"/>
        <w:numPr>
          <w:ilvl w:val="0"/>
          <w:numId w:val="1006"/>
        </w:numPr>
      </w:pPr>
      <w:r>
        <w:t xml:space="preserve">Update supplier code of conduct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publish claim without legal review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skip third-party verification</w:t>
      </w:r>
      <w:r>
        <w:t xml:space="preserve"> </w:t>
      </w:r>
      <w:r>
        <w:t xml:space="preserve">on major claims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defer regulatory responses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document substantiation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coordinate legal + marketing + operations</w:t>
      </w:r>
      <w:r>
        <w:t xml:space="preserve"> </w:t>
      </w:r>
      <w:r>
        <w:t xml:space="preserve">for program decisions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Claim substantiation</w:t>
      </w:r>
      <w:r>
        <w:br/>
      </w:r>
      <w:r>
        <w:rPr>
          <w:rStyle w:val="VerbatimChar"/>
        </w:rPr>
        <w:t xml:space="preserve">{public claims audit with substantiation} # expect: 100% substantiated</w:t>
      </w:r>
      <w:r>
        <w:br/>
      </w:r>
      <w:r>
        <w:br/>
      </w:r>
      <w:r>
        <w:rPr>
          <w:rStyle w:val="VerbatimChar"/>
        </w:rPr>
        <w:t xml:space="preserve"># Certification status</w:t>
      </w:r>
      <w:r>
        <w:br/>
      </w:r>
      <w:r>
        <w:rPr>
          <w:rStyle w:val="VerbatimChar"/>
        </w:rPr>
        <w:t xml:space="preserve">{certification expiration + audit schedule} # expect: current, audits scheduled</w:t>
      </w:r>
      <w:r>
        <w:br/>
      </w:r>
      <w:r>
        <w:br/>
      </w:r>
      <w:r>
        <w:rPr>
          <w:rStyle w:val="VerbatimChar"/>
        </w:rPr>
        <w:t xml:space="preserve"># Scope 1/2/3 measurement</w:t>
      </w:r>
      <w:r>
        <w:br/>
      </w:r>
      <w:r>
        <w:rPr>
          <w:rStyle w:val="VerbatimChar"/>
        </w:rPr>
        <w:t xml:space="preserve">{emissions inventory freshness}             # expect: current-year data in progress</w:t>
      </w:r>
      <w:r>
        <w:br/>
      </w:r>
      <w:r>
        <w:br/>
      </w:r>
      <w:r>
        <w:rPr>
          <w:rStyle w:val="VerbatimChar"/>
        </w:rPr>
        <w:t xml:space="preserve"># Supply chain visibility</w:t>
      </w:r>
      <w:r>
        <w:br/>
      </w:r>
      <w:r>
        <w:rPr>
          <w:rStyle w:val="VerbatimChar"/>
        </w:rPr>
        <w:t xml:space="preserve">{tier 1 / 2 visibility %}                   # expect: 100% tier 1; &gt;50% tier 2</w:t>
      </w:r>
      <w:r>
        <w:br/>
      </w:r>
      <w:r>
        <w:br/>
      </w:r>
      <w:r>
        <w:rPr>
          <w:rStyle w:val="VerbatimChar"/>
        </w:rPr>
        <w:t xml:space="preserve"># Report publication cadence</w:t>
      </w:r>
      <w:r>
        <w:br/>
      </w:r>
      <w:r>
        <w:rPr>
          <w:rStyle w:val="VerbatimChar"/>
        </w:rPr>
        <w:t xml:space="preserve">{last annual report date}                   # expect: within 12 months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Marketing-operations disconnect</w:t>
      </w:r>
      <w:r>
        <w:t xml:space="preserve"> </w:t>
      </w:r>
      <w:r>
        <w:t xml:space="preserve">— marketing over-claims; operations can't support; greenwashing risk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Certification complacency</w:t>
      </w:r>
      <w:r>
        <w:t xml:space="preserve"> </w:t>
      </w:r>
      <w:r>
        <w:t xml:space="preserve">— certify once, drift; re-audit catches issues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Scope 3 avoidance</w:t>
      </w:r>
      <w:r>
        <w:t xml:space="preserve"> </w:t>
      </w:r>
      <w:r>
        <w:t xml:space="preserve">— tempting to claim "carbon neutral on scopes 1+2" but risk of criticism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Claim inflation</w:t>
      </w:r>
      <w:r>
        <w:t xml:space="preserve"> </w:t>
      </w:r>
      <w:r>
        <w:t xml:space="preserve">— each marketer adds stronger language; substantiation doesn't keep up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Supply-chain blind spots</w:t>
      </w:r>
      <w:r>
        <w:t xml:space="preserve"> </w:t>
      </w:r>
      <w:r>
        <w:t xml:space="preserve">— tier 2/3 incidents blindside brands without visibility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