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ugc--reviews--deep-research-template"/>
    <w:p>
      <w:pPr>
        <w:pStyle w:val="Heading1"/>
      </w:pPr>
      <w:r>
        <w:t xml:space="preserve">UGC / Reviews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platform evaluation</w:t>
      </w:r>
      <w:r>
        <w:t xml:space="preserve"> </w:t>
      </w:r>
      <w:r>
        <w:t xml:space="preserve">— Yotpo / Okendo / Stamped / Loox / Judge.me / Junip / Bazaarvoice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UGC platform evaluation</w:t>
      </w:r>
      <w:r>
        <w:t xml:space="preserve"> </w:t>
      </w:r>
      <w:r>
        <w:t xml:space="preserve">— Yotpo Visual UGC / Olapic / Pixlee TurnTo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review teardown</w:t>
      </w:r>
      <w:r>
        <w:t xml:space="preserve"> </w:t>
      </w:r>
      <w:r>
        <w:t xml:space="preserve">— peer brands' review programs + performance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benchmarks</w:t>
      </w:r>
      <w:r>
        <w:t xml:space="preserve"> </w:t>
      </w:r>
      <w:r>
        <w:t xml:space="preserve">— velocity, rating, response rate by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UGC-in-ads research</w:t>
      </w:r>
      <w:r>
        <w:t xml:space="preserve"> </w:t>
      </w:r>
      <w:r>
        <w:t xml:space="preserve">— measured performance vs. branded creative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 review research</w:t>
      </w:r>
      <w:r>
        <w:t xml:space="preserve"> </w:t>
      </w:r>
      <w:r>
        <w:t xml:space="preserve">— response rates, platforms, best-practice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Platform-published benchmarks</w:t>
      </w:r>
      <w:r>
        <w:t xml:space="preserve"> </w:t>
      </w:r>
      <w:r>
        <w:t xml:space="preserve">— Yotpo, Okendo publish category benchmarks annually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Bazaarvoice / Power Reviews research</w:t>
      </w:r>
      <w:r>
        <w:t xml:space="preserve"> </w:t>
      </w:r>
      <w:r>
        <w:t xml:space="preserve">— enterprise-scale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Shopify Plus case studies</w:t>
      </w:r>
      <w:r>
        <w:t xml:space="preserve"> </w:t>
      </w:r>
      <w:r>
        <w:t xml:space="preserve">— real brand outcomes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BigCommerce / Magento case studies</w:t>
      </w:r>
      <w:r>
        <w:t xml:space="preserve"> </w:t>
      </w:r>
      <w:r>
        <w:t xml:space="preserve">— platform-adjacent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voice on LinkedIn</w:t>
      </w:r>
      <w:r>
        <w:t xml:space="preserve"> </w:t>
      </w:r>
      <w:r>
        <w:t xml:space="preserve">— real numbers from named brands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research on consumer reviews</w:t>
      </w:r>
      <w:r>
        <w:t xml:space="preserve"> </w:t>
      </w:r>
      <w:r>
        <w:t xml:space="preserve">— behavioral research on trust, star ratings, response impact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Platform sales decks (positioning bias)</w:t>
      </w:r>
    </w:p>
    <w:p>
      <w:pPr>
        <w:pStyle w:val="Compact"/>
        <w:numPr>
          <w:ilvl w:val="0"/>
          <w:numId w:val="1003"/>
        </w:numPr>
      </w:pPr>
      <w:r>
        <w:t xml:space="preserve">Generic "why reviews matter" content</w:t>
      </w:r>
    </w:p>
    <w:p>
      <w:pPr>
        <w:pStyle w:val="Compact"/>
        <w:numPr>
          <w:ilvl w:val="0"/>
          <w:numId w:val="1003"/>
        </w:numPr>
      </w:pPr>
      <w:r>
        <w:t xml:space="preserve">AI-generated review strategy content</w:t>
      </w:r>
    </w:p>
    <w:bookmarkEnd w:id="10"/>
    <w:bookmarkStart w:id="15" w:name="question-set-specializations"/>
    <w:p>
      <w:pPr>
        <w:pStyle w:val="Heading2"/>
      </w:pPr>
      <w:r>
        <w:t xml:space="preserve">Question-set specializations</w:t>
      </w:r>
    </w:p>
    <w:bookmarkStart w:id="11" w:name="for-review-platform-evaluation"/>
    <w:p>
      <w:pPr>
        <w:pStyle w:val="Heading3"/>
      </w:pPr>
      <w:r>
        <w:t xml:space="preserve">For review platform evaluation:</w:t>
      </w:r>
    </w:p>
    <w:p>
      <w:pPr>
        <w:pStyle w:val="Compact"/>
        <w:numPr>
          <w:ilvl w:val="0"/>
          <w:numId w:val="1004"/>
        </w:numPr>
      </w:pPr>
      <w:r>
        <w:t xml:space="preserve">Feature comparison — reviews, Q&amp;A, photos/videos, UGC, response management, syndication</w:t>
      </w:r>
    </w:p>
    <w:p>
      <w:pPr>
        <w:pStyle w:val="Compact"/>
        <w:numPr>
          <w:ilvl w:val="0"/>
          <w:numId w:val="1004"/>
        </w:numPr>
      </w:pPr>
      <w:r>
        <w:t xml:space="preserve">Integration depth — Shopify, Klaviyo, Recharge, Google</w:t>
      </w:r>
    </w:p>
    <w:p>
      <w:pPr>
        <w:pStyle w:val="Compact"/>
        <w:numPr>
          <w:ilvl w:val="0"/>
          <w:numId w:val="1004"/>
        </w:numPr>
      </w:pPr>
      <w:r>
        <w:t xml:space="preserve">Pricing — seat + review-volume tiers</w:t>
      </w:r>
    </w:p>
    <w:p>
      <w:pPr>
        <w:pStyle w:val="Compact"/>
        <w:numPr>
          <w:ilvl w:val="0"/>
          <w:numId w:val="1004"/>
        </w:numPr>
      </w:pPr>
      <w:r>
        <w:t xml:space="preserve">Migration cost — review-data portability</w:t>
      </w:r>
    </w:p>
    <w:p>
      <w:pPr>
        <w:pStyle w:val="Compact"/>
        <w:numPr>
          <w:ilvl w:val="0"/>
          <w:numId w:val="1004"/>
        </w:numPr>
      </w:pPr>
      <w:r>
        <w:t xml:space="preserve">Automation capability — solicitation flows, response routing</w:t>
      </w:r>
    </w:p>
    <w:p>
      <w:pPr>
        <w:pStyle w:val="Compact"/>
        <w:numPr>
          <w:ilvl w:val="0"/>
          <w:numId w:val="1004"/>
        </w:numPr>
      </w:pPr>
      <w:r>
        <w:t xml:space="preserve">Scale ceiling — at 10K reviews/month, still performant?</w:t>
      </w:r>
    </w:p>
    <w:p>
      <w:pPr>
        <w:pStyle w:val="Compact"/>
        <w:numPr>
          <w:ilvl w:val="0"/>
          <w:numId w:val="1004"/>
        </w:numPr>
      </w:pPr>
      <w:r>
        <w:t xml:space="preserve">UX quality — both customer-facing + admin</w:t>
      </w:r>
    </w:p>
    <w:p>
      <w:pPr>
        <w:pStyle w:val="Compact"/>
        <w:numPr>
          <w:ilvl w:val="0"/>
          <w:numId w:val="1004"/>
        </w:numPr>
      </w:pPr>
      <w:r>
        <w:t xml:space="preserve">Customer references at your scale</w:t>
      </w:r>
    </w:p>
    <w:bookmarkEnd w:id="11"/>
    <w:bookmarkStart w:id="12" w:name="for-ugc-platform-evaluation"/>
    <w:p>
      <w:pPr>
        <w:pStyle w:val="Heading3"/>
      </w:pPr>
      <w:r>
        <w:t xml:space="preserve">For UGC platform evaluation: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 </w:t>
      </w:r>
      <w:r>
        <w:t xml:space="preserve">specializations:</w:t>
      </w:r>
    </w:p>
    <w:p>
      <w:pPr>
        <w:pStyle w:val="Compact"/>
        <w:numPr>
          <w:ilvl w:val="0"/>
          <w:numId w:val="1005"/>
        </w:numPr>
      </w:pPr>
      <w:r>
        <w:t xml:space="preserve">Rights capture + legal workflow</w:t>
      </w:r>
    </w:p>
    <w:p>
      <w:pPr>
        <w:pStyle w:val="Compact"/>
        <w:numPr>
          <w:ilvl w:val="0"/>
          <w:numId w:val="1005"/>
        </w:numPr>
      </w:pPr>
      <w:r>
        <w:t xml:space="preserve">Content moderation + approval</w:t>
      </w:r>
    </w:p>
    <w:p>
      <w:pPr>
        <w:pStyle w:val="Compact"/>
        <w:numPr>
          <w:ilvl w:val="0"/>
          <w:numId w:val="1005"/>
        </w:numPr>
      </w:pPr>
      <w:r>
        <w:t xml:space="preserve">Gallery + ad-library management</w:t>
      </w:r>
    </w:p>
    <w:p>
      <w:pPr>
        <w:pStyle w:val="Compact"/>
        <w:numPr>
          <w:ilvl w:val="0"/>
          <w:numId w:val="1005"/>
        </w:numPr>
      </w:pPr>
      <w:r>
        <w:t xml:space="preserve">Shopify / ecommerce integration</w:t>
      </w:r>
    </w:p>
    <w:p>
      <w:pPr>
        <w:pStyle w:val="Compact"/>
        <w:numPr>
          <w:ilvl w:val="0"/>
          <w:numId w:val="1005"/>
        </w:numPr>
      </w:pPr>
      <w:r>
        <w:t xml:space="preserve">Analytics + performance measurement</w:t>
      </w:r>
    </w:p>
    <w:p>
      <w:pPr>
        <w:pStyle w:val="Compact"/>
        <w:numPr>
          <w:ilvl w:val="0"/>
          <w:numId w:val="1005"/>
        </w:numPr>
      </w:pPr>
      <w:r>
        <w:t xml:space="preserve">Creator / customer submission UX</w:t>
      </w:r>
    </w:p>
    <w:p>
      <w:pPr>
        <w:pStyle w:val="Compact"/>
        <w:numPr>
          <w:ilvl w:val="0"/>
          <w:numId w:val="1005"/>
        </w:numPr>
      </w:pPr>
      <w:r>
        <w:t xml:space="preserve">Pricing</w:t>
      </w:r>
    </w:p>
    <w:bookmarkEnd w:id="12"/>
    <w:bookmarkStart w:id="13" w:name="for-competitive-teardown"/>
    <w:p>
      <w:pPr>
        <w:pStyle w:val="Heading3"/>
      </w:pPr>
      <w:r>
        <w:t xml:space="preserve">For competitive teardown:</w:t>
      </w:r>
    </w:p>
    <w:p>
      <w:pPr>
        <w:pStyle w:val="Compact"/>
        <w:numPr>
          <w:ilvl w:val="0"/>
          <w:numId w:val="1006"/>
        </w:numPr>
      </w:pPr>
      <w:r>
        <w:t xml:space="preserve">Review count + rating by product</w:t>
      </w:r>
    </w:p>
    <w:p>
      <w:pPr>
        <w:pStyle w:val="Compact"/>
        <w:numPr>
          <w:ilvl w:val="0"/>
          <w:numId w:val="1006"/>
        </w:numPr>
      </w:pPr>
      <w:r>
        <w:t xml:space="preserve">Platform visible</w:t>
      </w:r>
    </w:p>
    <w:p>
      <w:pPr>
        <w:pStyle w:val="Compact"/>
        <w:numPr>
          <w:ilvl w:val="0"/>
          <w:numId w:val="1006"/>
        </w:numPr>
      </w:pPr>
      <w:r>
        <w:t xml:space="preserve">Response quality / cadence</w:t>
      </w:r>
    </w:p>
    <w:p>
      <w:pPr>
        <w:pStyle w:val="Compact"/>
        <w:numPr>
          <w:ilvl w:val="0"/>
          <w:numId w:val="1006"/>
        </w:numPr>
      </w:pPr>
      <w:r>
        <w:t xml:space="preserve">UGC in ads vs. branded</w:t>
      </w:r>
    </w:p>
    <w:p>
      <w:pPr>
        <w:pStyle w:val="Compact"/>
        <w:numPr>
          <w:ilvl w:val="0"/>
          <w:numId w:val="1006"/>
        </w:numPr>
      </w:pPr>
      <w:r>
        <w:t xml:space="preserve">Photo/video rate in reviews</w:t>
      </w:r>
    </w:p>
    <w:p>
      <w:pPr>
        <w:pStyle w:val="Compact"/>
        <w:numPr>
          <w:ilvl w:val="0"/>
          <w:numId w:val="1006"/>
        </w:numPr>
      </w:pPr>
      <w:r>
        <w:t xml:space="preserve">Cross-platform presence</w:t>
      </w:r>
    </w:p>
    <w:bookmarkEnd w:id="13"/>
    <w:bookmarkStart w:id="14" w:name="for-benchmarks"/>
    <w:p>
      <w:pPr>
        <w:pStyle w:val="Heading3"/>
      </w:pPr>
      <w:r>
        <w:t xml:space="preserve">For benchmarks:</w:t>
      </w:r>
    </w:p>
    <w:p>
      <w:pPr>
        <w:pStyle w:val="Compact"/>
        <w:numPr>
          <w:ilvl w:val="0"/>
          <w:numId w:val="1007"/>
        </w:numPr>
      </w:pPr>
      <w:r>
        <w:t xml:space="preserve">Review-to-purchase ratio by category</w:t>
      </w:r>
    </w:p>
    <w:p>
      <w:pPr>
        <w:pStyle w:val="Compact"/>
        <w:numPr>
          <w:ilvl w:val="0"/>
          <w:numId w:val="1007"/>
        </w:numPr>
      </w:pPr>
      <w:r>
        <w:t xml:space="preserve">Photo/video rate benchmarks</w:t>
      </w:r>
    </w:p>
    <w:p>
      <w:pPr>
        <w:pStyle w:val="Compact"/>
        <w:numPr>
          <w:ilvl w:val="0"/>
          <w:numId w:val="1007"/>
        </w:numPr>
      </w:pPr>
      <w:r>
        <w:t xml:space="preserve">Response SLA industry norms</w:t>
      </w:r>
    </w:p>
    <w:p>
      <w:pPr>
        <w:pStyle w:val="Compact"/>
        <w:numPr>
          <w:ilvl w:val="0"/>
          <w:numId w:val="1007"/>
        </w:numPr>
      </w:pPr>
      <w:r>
        <w:t xml:space="preserve">Rating distribution (healthy brands)</w:t>
      </w:r>
    </w:p>
    <w:p>
      <w:pPr>
        <w:pStyle w:val="Compact"/>
        <w:numPr>
          <w:ilvl w:val="0"/>
          <w:numId w:val="1007"/>
        </w:numPr>
      </w:pPr>
      <w:r>
        <w:t xml:space="preserve">SMS review response rates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PDP + conversion patterns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competitor analysis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"Evaluate Yotpo vs. Okendo vs. Stamped vs. Junip for $25M DTC brand — feature parity, pricing, Shopify integration, migration from Judge.me"</w:t>
      </w:r>
    </w:p>
    <w:p>
      <w:pPr>
        <w:pStyle w:val="Compact"/>
        <w:numPr>
          <w:ilvl w:val="0"/>
          <w:numId w:val="1009"/>
        </w:numPr>
      </w:pPr>
      <w:r>
        <w:t xml:space="preserve">"Research UGC-in-ads performance benchmarks — paid-social creative testing results at DTC brands; measured CTR / CVR / CAC lift vs. branded"</w:t>
      </w:r>
    </w:p>
    <w:p>
      <w:pPr>
        <w:pStyle w:val="Compact"/>
        <w:numPr>
          <w:ilvl w:val="0"/>
          <w:numId w:val="1009"/>
        </w:numPr>
      </w:pPr>
      <w:r>
        <w:t xml:space="preserve">"Research SMS review-solicitation platforms + performance — Postscript, Attentive, Klaviyo SMS; response rate benchmarks"</w:t>
      </w:r>
    </w:p>
    <w:p>
      <w:pPr>
        <w:pStyle w:val="Compact"/>
        <w:numPr>
          <w:ilvl w:val="0"/>
          <w:numId w:val="1009"/>
        </w:numPr>
      </w:pPr>
      <w:r>
        <w:t xml:space="preserve">"Teardown top-10 DTC beauty brands' review programs — count, velocity, UGC rate, response cadence"</w:t>
      </w:r>
    </w:p>
    <w:p>
      <w:pPr>
        <w:pStyle w:val="Compact"/>
        <w:numPr>
          <w:ilvl w:val="0"/>
          <w:numId w:val="1009"/>
        </w:numPr>
      </w:pPr>
      <w:r>
        <w:t xml:space="preserve">"Research response-management best-practice at brands with 10K+ reviews — automation vs. human, response template libraries, escalation protocols"</w:t>
      </w:r>
    </w:p>
    <w:p>
      <w:pPr>
        <w:pStyle w:val="Compact"/>
        <w:numPr>
          <w:ilvl w:val="0"/>
          <w:numId w:val="1009"/>
        </w:numPr>
      </w:pPr>
      <w:r>
        <w:t xml:space="preserve">"Research review fraud detection + management — platform tooling, industry patterns, resolution procedures"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2026-04-15T22:46:42Z</dcterms:created>
  <dcterms:modified xsi:type="dcterms:W3CDTF">2026-04-15T22:46:42Z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