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4b4449808bb7bb5d7a8b3e9a56678444ce047b"/>
    <w:p>
      <w:pPr>
        <w:pStyle w:val="Heading1"/>
      </w:pPr>
      <w:r>
        <w:t xml:space="preserve">Wholesale / Retail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deep-research-strategic-portfolio.md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Retailer landscape research</w:t>
      </w:r>
      <w:r>
        <w:t xml:space="preserve"> </w:t>
      </w:r>
      <w:r>
        <w:t xml:space="preserve">— which retailers fit the brand, in what sequence?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 research</w:t>
      </w:r>
      <w:r>
        <w:t xml:space="preserve"> </w:t>
      </w:r>
      <w:r>
        <w:t xml:space="preserve">— specific buyers at target retailer; responsibilities, background, recent decisions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review timing research</w:t>
      </w:r>
      <w:r>
        <w:t xml:space="preserve"> </w:t>
      </w:r>
      <w:r>
        <w:t xml:space="preserve">— when are category reviews at target retailers?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Trade-spend benchmarks</w:t>
      </w:r>
      <w:r>
        <w:t xml:space="preserve"> </w:t>
      </w:r>
      <w:r>
        <w:t xml:space="preserve">— co-op, slotting, demo, promo norms in your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Chargeback benchmarks</w:t>
      </w:r>
      <w:r>
        <w:t xml:space="preserve"> </w:t>
      </w:r>
      <w:r>
        <w:t xml:space="preserve">— what's typical, what's high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Broker / rep evaluation</w:t>
      </w:r>
      <w:r>
        <w:t xml:space="preserve"> </w:t>
      </w:r>
      <w:r>
        <w:t xml:space="preserve">— category-specific representatives; coverage + track record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Retail-partner competitive analysis</w:t>
      </w:r>
      <w:r>
        <w:t xml:space="preserve"> </w:t>
      </w:r>
      <w:r>
        <w:t xml:space="preserve">— who else is on shelf; positioning; velocity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Retailer investor relations + earnings calls</w:t>
      </w:r>
      <w:r>
        <w:t xml:space="preserve"> </w:t>
      </w:r>
      <w:r>
        <w:t xml:space="preserve">— channel strategy, category focus, private-label ambitions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 publications</w:t>
      </w:r>
      <w:r>
        <w:t xml:space="preserve"> </w:t>
      </w:r>
      <w:r>
        <w:t xml:space="preserve">— Progressive Grocer (grocery), Winsight (C-store), SGB Media (outdoor), Beauty Matter (beauty), Pet Age (pet)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RangeMe + ECRM</w:t>
      </w:r>
      <w:r>
        <w:t xml:space="preserve"> </w:t>
      </w:r>
      <w:r>
        <w:t xml:space="preserve">— retailer-buyer platforms where buyers share criteria + open categories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Circana (formerly IRI + NPD)</w:t>
      </w:r>
      <w:r>
        <w:t xml:space="preserve"> </w:t>
      </w:r>
      <w:r>
        <w:t xml:space="preserve">— category scanner data (paid)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Nielsen IQ</w:t>
      </w:r>
      <w:r>
        <w:t xml:space="preserve"> </w:t>
      </w:r>
      <w:r>
        <w:t xml:space="preserve">— CPG channel data (paid)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Spins</w:t>
      </w:r>
      <w:r>
        <w:t xml:space="preserve"> </w:t>
      </w:r>
      <w:r>
        <w:t xml:space="preserve">— natural / specialty channel data (paid)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Retail-specific LinkedIn communities</w:t>
      </w:r>
      <w:r>
        <w:t xml:space="preserve"> </w:t>
      </w:r>
      <w:r>
        <w:t xml:space="preserve">— buyer networks, category managers, retail-sales operators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Generic "how to pitch to Target" listicles</w:t>
      </w:r>
    </w:p>
    <w:p>
      <w:pPr>
        <w:pStyle w:val="Compact"/>
        <w:numPr>
          <w:ilvl w:val="0"/>
          <w:numId w:val="1003"/>
        </w:numPr>
      </w:pPr>
      <w:r>
        <w:t xml:space="preserve">Broker-published success stories (marketing bias)</w:t>
      </w:r>
    </w:p>
    <w:p>
      <w:pPr>
        <w:pStyle w:val="Compact"/>
        <w:numPr>
          <w:ilvl w:val="0"/>
          <w:numId w:val="1003"/>
        </w:numPr>
      </w:pPr>
      <w:r>
        <w:t xml:space="preserve">AI-generated retail-strategy content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retailer-landscape"/>
    <w:p>
      <w:pPr>
        <w:pStyle w:val="Heading3"/>
      </w:pPr>
      <w:r>
        <w:t xml:space="preserve">For retailer landscape:</w:t>
      </w:r>
    </w:p>
    <w:p>
      <w:pPr>
        <w:pStyle w:val="Compact"/>
        <w:numPr>
          <w:ilvl w:val="0"/>
          <w:numId w:val="1004"/>
        </w:numPr>
      </w:pPr>
      <w:r>
        <w:t xml:space="preserve">Target retailer universe for category — specialty, mass, club, etc.</w:t>
      </w:r>
    </w:p>
    <w:p>
      <w:pPr>
        <w:pStyle w:val="Compact"/>
        <w:numPr>
          <w:ilvl w:val="0"/>
          <w:numId w:val="1004"/>
        </w:numPr>
      </w:pPr>
      <w:r>
        <w:t xml:space="preserve">Door count + revenue per store for each</w:t>
      </w:r>
    </w:p>
    <w:p>
      <w:pPr>
        <w:pStyle w:val="Compact"/>
        <w:numPr>
          <w:ilvl w:val="0"/>
          <w:numId w:val="1004"/>
        </w:numPr>
      </w:pPr>
      <w:r>
        <w:t xml:space="preserve">Category size and sub-category focus at retailer</w:t>
      </w:r>
    </w:p>
    <w:p>
      <w:pPr>
        <w:pStyle w:val="Compact"/>
        <w:numPr>
          <w:ilvl w:val="0"/>
          <w:numId w:val="1004"/>
        </w:numPr>
      </w:pPr>
      <w:r>
        <w:t xml:space="preserve">Private-label presence + competitive threat</w:t>
      </w:r>
    </w:p>
    <w:p>
      <w:pPr>
        <w:pStyle w:val="Compact"/>
        <w:numPr>
          <w:ilvl w:val="0"/>
          <w:numId w:val="1004"/>
        </w:numPr>
      </w:pPr>
      <w:r>
        <w:t xml:space="preserve">Brand-partner slots typically available</w:t>
      </w:r>
    </w:p>
    <w:p>
      <w:pPr>
        <w:pStyle w:val="Compact"/>
        <w:numPr>
          <w:ilvl w:val="0"/>
          <w:numId w:val="1004"/>
        </w:numPr>
      </w:pPr>
      <w:r>
        <w:t xml:space="preserve">Buyer patience / relationship expectations</w:t>
      </w:r>
    </w:p>
    <w:p>
      <w:pPr>
        <w:pStyle w:val="Compact"/>
        <w:numPr>
          <w:ilvl w:val="0"/>
          <w:numId w:val="1004"/>
        </w:numPr>
      </w:pPr>
      <w:r>
        <w:t xml:space="preserve">Geographic coverage + demographics</w:t>
      </w:r>
    </w:p>
    <w:p>
      <w:pPr>
        <w:pStyle w:val="Compact"/>
        <w:numPr>
          <w:ilvl w:val="0"/>
          <w:numId w:val="1004"/>
        </w:numPr>
      </w:pPr>
      <w:r>
        <w:t xml:space="preserve">Margin / trade-spend norms</w:t>
      </w:r>
    </w:p>
    <w:bookmarkEnd w:id="11"/>
    <w:bookmarkStart w:id="12" w:name="for-buyer-research"/>
    <w:p>
      <w:pPr>
        <w:pStyle w:val="Heading3"/>
      </w:pPr>
      <w:r>
        <w:t xml:space="preserve">For buyer research:</w:t>
      </w:r>
    </w:p>
    <w:p>
      <w:pPr>
        <w:pStyle w:val="Compact"/>
        <w:numPr>
          <w:ilvl w:val="0"/>
          <w:numId w:val="1005"/>
        </w:numPr>
      </w:pPr>
      <w:r>
        <w:t xml:space="preserve">Named buyer(s) by category at target retailer</w:t>
      </w:r>
    </w:p>
    <w:p>
      <w:pPr>
        <w:pStyle w:val="Compact"/>
        <w:numPr>
          <w:ilvl w:val="0"/>
          <w:numId w:val="1005"/>
        </w:numPr>
      </w:pPr>
      <w:r>
        <w:t xml:space="preserve">LinkedIn + press background — tenure, prior roles, recent decisions</w:t>
      </w:r>
    </w:p>
    <w:p>
      <w:pPr>
        <w:pStyle w:val="Compact"/>
        <w:numPr>
          <w:ilvl w:val="0"/>
          <w:numId w:val="1005"/>
        </w:numPr>
      </w:pPr>
      <w:r>
        <w:t xml:space="preserve">Speaking / interview history — what do they say publicly about category?</w:t>
      </w:r>
    </w:p>
    <w:p>
      <w:pPr>
        <w:pStyle w:val="Compact"/>
        <w:numPr>
          <w:ilvl w:val="0"/>
          <w:numId w:val="1005"/>
        </w:numPr>
      </w:pPr>
      <w:r>
        <w:t xml:space="preserve">Recent brand decisions at their retailer (adds / drops / moves)</w:t>
      </w:r>
    </w:p>
    <w:p>
      <w:pPr>
        <w:pStyle w:val="Compact"/>
        <w:numPr>
          <w:ilvl w:val="0"/>
          <w:numId w:val="1005"/>
        </w:numPr>
      </w:pPr>
      <w:r>
        <w:t xml:space="preserve">Known personal preferences / red flags</w:t>
      </w:r>
    </w:p>
    <w:bookmarkEnd w:id="12"/>
    <w:bookmarkStart w:id="13" w:name="for-category-review-timing"/>
    <w:p>
      <w:pPr>
        <w:pStyle w:val="Heading3"/>
      </w:pPr>
      <w:r>
        <w:t xml:space="preserve">For category review timing:</w:t>
      </w:r>
    </w:p>
    <w:p>
      <w:pPr>
        <w:pStyle w:val="Compact"/>
        <w:numPr>
          <w:ilvl w:val="0"/>
          <w:numId w:val="1006"/>
        </w:numPr>
      </w:pPr>
      <w:r>
        <w:t xml:space="preserve">Category review calendar at target retailers</w:t>
      </w:r>
    </w:p>
    <w:p>
      <w:pPr>
        <w:pStyle w:val="Compact"/>
        <w:numPr>
          <w:ilvl w:val="0"/>
          <w:numId w:val="1006"/>
        </w:numPr>
      </w:pPr>
      <w:r>
        <w:t xml:space="preserve">Typical pitch-to-decision timeline</w:t>
      </w:r>
    </w:p>
    <w:p>
      <w:pPr>
        <w:pStyle w:val="Compact"/>
        <w:numPr>
          <w:ilvl w:val="0"/>
          <w:numId w:val="1006"/>
        </w:numPr>
      </w:pPr>
      <w:r>
        <w:t xml:space="preserve">Windows open / closed in next 12-18 months</w:t>
      </w:r>
    </w:p>
    <w:p>
      <w:pPr>
        <w:pStyle w:val="Compact"/>
        <w:numPr>
          <w:ilvl w:val="0"/>
          <w:numId w:val="1006"/>
        </w:numPr>
      </w:pPr>
      <w:r>
        <w:t xml:space="preserve">Prep time required (pitch decks, samples, category data)</w:t>
      </w:r>
    </w:p>
    <w:bookmarkEnd w:id="13"/>
    <w:bookmarkStart w:id="14" w:name="for-trade-spend-benchmarks"/>
    <w:p>
      <w:pPr>
        <w:pStyle w:val="Heading3"/>
      </w:pPr>
      <w:r>
        <w:t xml:space="preserve">For trade-spend benchmarks:</w:t>
      </w:r>
    </w:p>
    <w:p>
      <w:pPr>
        <w:pStyle w:val="Compact"/>
        <w:numPr>
          <w:ilvl w:val="0"/>
          <w:numId w:val="1007"/>
        </w:numPr>
      </w:pPr>
      <w:r>
        <w:t xml:space="preserve">Co-op typical % of wholesale revenue in your category / retailer</w:t>
      </w:r>
    </w:p>
    <w:p>
      <w:pPr>
        <w:pStyle w:val="Compact"/>
        <w:numPr>
          <w:ilvl w:val="0"/>
          <w:numId w:val="1007"/>
        </w:numPr>
      </w:pPr>
      <w:r>
        <w:t xml:space="preserve">Slotting fees (if applicable) by retailer + category</w:t>
      </w:r>
    </w:p>
    <w:p>
      <w:pPr>
        <w:pStyle w:val="Compact"/>
        <w:numPr>
          <w:ilvl w:val="0"/>
          <w:numId w:val="1007"/>
        </w:numPr>
      </w:pPr>
      <w:r>
        <w:t xml:space="preserve">Demo program cost + typical ROI</w:t>
      </w:r>
    </w:p>
    <w:p>
      <w:pPr>
        <w:pStyle w:val="Compact"/>
        <w:numPr>
          <w:ilvl w:val="0"/>
          <w:numId w:val="1007"/>
        </w:numPr>
      </w:pPr>
      <w:r>
        <w:t xml:space="preserve">In-store promo depth norms</w:t>
      </w:r>
    </w:p>
    <w:p>
      <w:pPr>
        <w:pStyle w:val="Compact"/>
        <w:numPr>
          <w:ilvl w:val="0"/>
          <w:numId w:val="1007"/>
        </w:numPr>
      </w:pPr>
      <w:r>
        <w:t xml:space="preserve">Planogram real estate cost (if applicable)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33 articles; primary reference for retail strategy, ShelfWins, planograms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competitive analysis methodology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Whole Foods + Sprouts entry playbook for premium CPG snack brand — buyer map, category review timing, typical trade spend, sell-through benchmarks"</w:t>
      </w:r>
    </w:p>
    <w:p>
      <w:pPr>
        <w:pStyle w:val="Compact"/>
        <w:numPr>
          <w:ilvl w:val="0"/>
          <w:numId w:val="1009"/>
        </w:numPr>
      </w:pPr>
      <w:r>
        <w:t xml:space="preserve">"Research Target entry for DTC beauty brand $20M revenue — category reviews, buyer criteria, typical slotting / co-op, private-label threat in category"</w:t>
      </w:r>
    </w:p>
    <w:p>
      <w:pPr>
        <w:pStyle w:val="Compact"/>
        <w:numPr>
          <w:ilvl w:val="0"/>
          <w:numId w:val="1009"/>
        </w:numPr>
      </w:pPr>
      <w:r>
        <w:t xml:space="preserve">"Research Costco entry for emerging DTC brand — SKU requirements, margin compression reality, typical demo program cost + ROI"</w:t>
      </w:r>
    </w:p>
    <w:p>
      <w:pPr>
        <w:pStyle w:val="Compact"/>
        <w:numPr>
          <w:ilvl w:val="0"/>
          <w:numId w:val="1009"/>
        </w:numPr>
      </w:pPr>
      <w:r>
        <w:t xml:space="preserve">"Teardown on-shelf competitive landscape at REI for outdoor-gear brand — brands present, shelf space, promotion patterns, private-label presence"</w:t>
      </w:r>
    </w:p>
    <w:p>
      <w:pPr>
        <w:pStyle w:val="Compact"/>
        <w:numPr>
          <w:ilvl w:val="0"/>
          <w:numId w:val="1009"/>
        </w:numPr>
      </w:pPr>
      <w:r>
        <w:t xml:space="preserve">"Research broker / MRO landscape for natural-channel grocery (Whole Foods + Sprouts + Natural Grocers) — top 5-10 firms, category fit, client track record"</w:t>
      </w:r>
    </w:p>
    <w:p>
      <w:pPr>
        <w:pStyle w:val="Compact"/>
        <w:numPr>
          <w:ilvl w:val="0"/>
          <w:numId w:val="1009"/>
        </w:numPr>
      </w:pPr>
      <w:r>
        <w:t xml:space="preserve">"Research chargeback benchmarks for DTC brands entering Target — typical % by retailer / category, common categories of cause, remediation playbooks"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2026-04-15T22:46:39Z</dcterms:created>
  <dcterms:modified xsi:type="dcterms:W3CDTF">2026-04-15T22:46:39Z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