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A1F2B"/>
          <w:sz w:val="56"/>
          <w:szCs w:val="56"/>
        </w:rPr>
        <w:t xml:space="preserve">LOOPER</w:t>
      </w:r>
      <w:r>
        <w:rPr>
          <w:rFonts w:ascii="Arial" w:cs="Arial" w:eastAsia="Arial" w:hAnsi="Arial"/>
          <w:b/>
          <w:bCs/>
          <w:color w:val="0D7C66"/>
          <w:sz w:val="56"/>
          <w:szCs w:val="56"/>
        </w:rPr>
        <w:t xml:space="preserve">.AI</w:t>
      </w:r>
    </w:p>
    <w:p>
      <w:pPr>
        <w:spacing w:after="0" w:before="200"/>
      </w:pPr>
    </w:p>
    <w:p>
      <w:pPr>
        <w:jc w:val="center"/>
      </w:pPr>
      <w:r>
        <w:rPr>
          <w:rFonts w:ascii="Arial" w:cs="Arial" w:eastAsia="Arial" w:hAnsi="Arial"/>
          <w:color w:val="4B5563"/>
          <w:sz w:val="28"/>
          <w:szCs w:val="28"/>
        </w:rPr>
        <w:t xml:space="preserve">Brand Identity &amp; Creative Brief</w:t>
      </w:r>
    </w:p>
    <w:p>
      <w:pPr>
        <w:jc w:val="center"/>
      </w:pPr>
      <w:r>
        <w:rPr>
          <w:rFonts w:ascii="Arial" w:cs="Arial" w:eastAsia="Arial" w:hAnsi="Arial"/>
          <w:color w:val="9CA3AF"/>
          <w:sz w:val="22"/>
          <w:szCs w:val="22"/>
        </w:rPr>
        <w:t xml:space="preserve">For Agency Use</w:t>
      </w:r>
    </w:p>
    <w:p>
      <w:pPr>
        <w:spacing w:after="0" w:before="400"/>
      </w:pPr>
    </w:p>
    <w:p>
      <w:pPr>
        <w:jc w:val="center"/>
      </w:pPr>
      <w:r>
        <w:rPr>
          <w:rFonts w:ascii="Arial" w:cs="Arial" w:eastAsia="Arial" w:hAnsi="Arial"/>
          <w:b/>
          <w:bCs/>
          <w:color w:val="9CA3AF"/>
          <w:sz w:val="20"/>
          <w:szCs w:val="20"/>
        </w:rPr>
        <w:t xml:space="preserve">CONFIDENTIAL</w:t>
      </w:r>
    </w:p>
    <w:p>
      <w:pPr>
        <w:jc w:val="center"/>
      </w:pPr>
      <w:r>
        <w:rPr>
          <w:rFonts w:ascii="Arial" w:cs="Arial" w:eastAsia="Arial" w:hAnsi="Arial"/>
          <w:color w:val="9CA3AF"/>
          <w:sz w:val="20"/>
          <w:szCs w:val="20"/>
        </w:rPr>
        <w:t xml:space="preserve">March 2026 — Updated</w:t>
      </w:r>
    </w:p>
    <w:p>
      <w:r>
        <w:br w:type="page"/>
      </w:r>
    </w:p>
    <w:p>
      <w:pPr>
        <w:pStyle w:val="Heading1"/>
        <w:spacing w:after="120" w:before="360"/>
      </w:pPr>
      <w:r>
        <w:rPr>
          <w:rFonts w:ascii="Arial" w:cs="Arial" w:eastAsia="Arial" w:hAnsi="Arial"/>
          <w:b/>
          <w:bCs/>
          <w:color w:val="1A1F2B"/>
          <w:sz w:val="32"/>
          <w:szCs w:val="32"/>
        </w:rPr>
        <w:t xml:space="preserve">1. The Assignment</w:t>
      </w:r>
    </w:p>
    <w:p>
      <w:pPr>
        <w:spacing w:after="80" w:before="80"/>
      </w:pPr>
      <w:r>
        <w:rPr>
          <w:rFonts w:ascii="Arial" w:cs="Arial" w:eastAsia="Arial" w:hAnsi="Arial"/>
          <w:color w:val="4B5563"/>
          <w:sz w:val="22"/>
          <w:szCs w:val="22"/>
        </w:rPr>
        <w:t xml:space="preserve">Design a complete brand identity system for Looper.AI, an AI-native coaching copilot for golf. The brand must position Looper.AI as the thinking partner that helps serious coaches scale their expertise — turning what the best practitioners already do intuitively into something measurable, repeatable, and continuously improving.</w:t>
      </w:r>
    </w:p>
    <w:p>
      <w:pPr>
        <w:spacing w:after="80" w:before="80"/>
      </w:pPr>
      <w:r>
        <w:rPr>
          <w:rFonts w:ascii="Arial" w:cs="Arial" w:eastAsia="Arial" w:hAnsi="Arial"/>
          <w:color w:val="4B5563"/>
          <w:sz w:val="22"/>
          <w:szCs w:val="22"/>
        </w:rPr>
        <w:t xml:space="preserve">This brief provides the strategic foundation. The agency is responsible for delivering: logo and mark system, color palette, typography, visual language, tone of voice guidelines, and application templates (digital product UI, pitch deck, web, and physical bay/academy signage).</w:t>
      </w:r>
    </w:p>
    <w:p>
      <w:pPr>
        <w:pStyle w:val="Heading1"/>
        <w:spacing w:after="120" w:before="360"/>
      </w:pPr>
      <w:r>
        <w:rPr>
          <w:rFonts w:ascii="Arial" w:cs="Arial" w:eastAsia="Arial" w:hAnsi="Arial"/>
          <w:b/>
          <w:bCs/>
          <w:color w:val="1A1F2B"/>
          <w:sz w:val="32"/>
          <w:szCs w:val="32"/>
        </w:rPr>
        <w:t xml:space="preserve">2. Company Overview</w:t>
      </w:r>
    </w:p>
    <w:p>
      <w:pPr>
        <w:pStyle w:val="Heading2"/>
        <w:spacing w:after="120" w:before="360"/>
      </w:pPr>
      <w:r>
        <w:rPr>
          <w:rFonts w:ascii="Arial" w:cs="Arial" w:eastAsia="Arial" w:hAnsi="Arial"/>
          <w:b/>
          <w:bCs/>
          <w:color w:val="1A1F2B"/>
          <w:sz w:val="28"/>
          <w:szCs w:val="28"/>
        </w:rPr>
        <w:t xml:space="preserve">What Looper.AI Does</w:t>
      </w:r>
    </w:p>
    <w:p>
      <w:pPr>
        <w:spacing w:after="80" w:before="80"/>
      </w:pPr>
      <w:r>
        <w:rPr>
          <w:rFonts w:ascii="Arial" w:cs="Arial" w:eastAsia="Arial" w:hAnsi="Arial"/>
          <w:color w:val="4B5563"/>
          <w:sz w:val="22"/>
          <w:szCs w:val="22"/>
        </w:rPr>
        <w:t xml:space="preserve">Looper.AI is an AI-native coaching copilot for golf performance. It builds a persistent record of every lesson through ambient data capture, applies physics-informed machine learning with calibrated uncertainty, and thinks alongside the coach in real time — surfacing insights, detecting lesson phases, and recommending what to try next. The coach stays in control. The AI handles the measurement discipline, the reasoning, and the memory.</w:t>
      </w:r>
    </w:p>
    <w:p>
      <w:pPr>
        <w:spacing w:after="80" w:before="80"/>
      </w:pPr>
      <w:r>
        <w:rPr>
          <w:rFonts w:ascii="Arial" w:cs="Arial" w:eastAsia="Arial" w:hAnsi="Arial"/>
          <w:color w:val="4B5563"/>
          <w:sz w:val="22"/>
          <w:szCs w:val="22"/>
        </w:rPr>
        <w:t xml:space="preserve">Memory enables intelligence. The persistent record is the foundation — you can’t have a thinking copilot without something to think about. But the experience the coach sees is intelligence: the AI actively processing, reasoning, and surfacing insights during the lesson. The record is both the product and the moat. The intelligence is the value proposition.</w:t>
      </w:r>
    </w:p>
    <w:p>
      <w:pPr>
        <w:spacing w:after="80" w:before="80"/>
      </w:pPr>
      <w:r>
        <w:rPr>
          <w:rFonts w:ascii="Arial" w:cs="Arial" w:eastAsia="Arial" w:hAnsi="Arial"/>
          <w:color w:val="4B5563"/>
          <w:sz w:val="22"/>
          <w:szCs w:val="22"/>
        </w:rPr>
        <w:t xml:space="preserve">Two connected experiences share a common data and intelligence layer:</w:t>
      </w:r>
    </w:p>
    <w:p>
      <w:pPr>
        <w:spacing w:after="80" w:before="80"/>
      </w:pPr>
      <w:r>
        <w:rPr>
          <w:rFonts w:ascii="Arial" w:cs="Arial" w:eastAsia="Arial" w:hAnsi="Arial"/>
          <w:b/>
          <w:bCs/>
          <w:color w:val="1A1F2B"/>
          <w:sz w:val="22"/>
          <w:szCs w:val="22"/>
        </w:rPr>
        <w:t xml:space="preserve">Coach Experience (primary go-to-market):</w:t>
      </w:r>
      <w:r>
        <w:rPr>
          <w:rFonts w:ascii="Arial" w:cs="Arial" w:eastAsia="Arial" w:hAnsi="Arial"/>
          <w:color w:val="4B5563"/>
          <w:sz w:val="22"/>
          <w:szCs w:val="22"/>
        </w:rPr>
        <w:t xml:space="preserve"> Two form factors. The Coach Portal is a full web application — the between-lesson command center with dashboard, player roster, session history, practice plan builder, and post-session detailed views. The Lesson Sidebar is a narrow panel (420–480px) that sits beside TrackMan Performance Studio on the coach’s monitor, showing a live lesson timeline with auto-detected phases, visible AI reasoning, ambient insight cards, and drill suggestions.</w:t>
      </w:r>
    </w:p>
    <w:p>
      <w:pPr>
        <w:spacing w:after="80" w:before="80"/>
      </w:pPr>
      <w:r>
        <w:rPr>
          <w:rFonts w:ascii="Arial" w:cs="Arial" w:eastAsia="Arial" w:hAnsi="Arial"/>
          <w:b/>
          <w:bCs/>
          <w:color w:val="1A1F2B"/>
          <w:sz w:val="22"/>
          <w:szCs w:val="22"/>
        </w:rPr>
        <w:t xml:space="preserve">Player Experience:</w:t>
      </w:r>
      <w:r>
        <w:rPr>
          <w:rFonts w:ascii="Arial" w:cs="Arial" w:eastAsia="Arial" w:hAnsi="Arial"/>
          <w:color w:val="4B5563"/>
          <w:sz w:val="22"/>
          <w:szCs w:val="22"/>
        </w:rPr>
        <w:t xml:space="preserve"> A mobile-first web app where players access session recaps, practice plans, progress tracking, and a conversational “Ask Looper” interface between lessons.</w:t>
      </w:r>
    </w:p>
    <w:p>
      <w:pPr>
        <w:pStyle w:val="Heading2"/>
        <w:spacing w:after="120" w:before="360"/>
      </w:pPr>
      <w:r>
        <w:rPr>
          <w:rFonts w:ascii="Arial" w:cs="Arial" w:eastAsia="Arial" w:hAnsi="Arial"/>
          <w:b/>
          <w:bCs/>
          <w:color w:val="1A1F2B"/>
          <w:sz w:val="28"/>
          <w:szCs w:val="28"/>
        </w:rPr>
        <w:t xml:space="preserve">What Makes It Different</w:t>
      </w:r>
    </w:p>
    <w:p>
      <w:pPr>
        <w:spacing w:after="80" w:before="80"/>
      </w:pPr>
      <w:r>
        <w:rPr>
          <w:rFonts w:ascii="Arial" w:cs="Arial" w:eastAsia="Arial" w:hAnsi="Arial"/>
          <w:color w:val="4B5563"/>
          <w:sz w:val="22"/>
          <w:szCs w:val="22"/>
        </w:rPr>
        <w:t xml:space="preserve">The golf industry has data tools (TrackMan, Foresight, TPI screens). What it lacks is a thinking partner that connects measurement to action with rigor. Looper.AI sits beside the launch monitor and thinks alongside the coach — detecting lesson phases, surfacing insights with visible reasoning, and building a persistent record that gets smarter across every session.</w:t>
      </w:r>
    </w:p>
    <w:p>
      <w:pPr>
        <w:pBdr>
          <w:left w:val="single" w:color="0D7C66" w:sz="6" w:space="8"/>
        </w:pBdr>
        <w:spacing w:after="160" w:before="160"/>
        <w:ind w:left="720"/>
      </w:pPr>
      <w:r>
        <w:rPr>
          <w:rFonts w:ascii="Arial" w:cs="Arial" w:eastAsia="Arial" w:hAnsi="Arial"/>
          <w:i/>
          <w:iCs/>
          <w:color w:val="4B5563"/>
          <w:sz w:val="22"/>
          <w:szCs w:val="22"/>
        </w:rPr>
        <w:t xml:space="preserve">The core insight: the best coaches already think this way. They diagnose, they experiment, they track response. They just do it in their heads, with no system to scale it, audit it, or improve it. Looper.AI is the thinking partner that matches how experts actually work.</w:t>
      </w:r>
    </w:p>
    <w:p>
      <w:r>
        <w:br w:type="page"/>
      </w:r>
    </w:p>
    <w:p>
      <w:pPr>
        <w:pStyle w:val="Heading1"/>
        <w:spacing w:after="120" w:before="360"/>
      </w:pPr>
      <w:r>
        <w:rPr>
          <w:rFonts w:ascii="Arial" w:cs="Arial" w:eastAsia="Arial" w:hAnsi="Arial"/>
          <w:b/>
          <w:bCs/>
          <w:color w:val="1A1F2B"/>
          <w:sz w:val="32"/>
          <w:szCs w:val="32"/>
        </w:rPr>
        <w:t xml:space="preserve">3. Strategic Positioning</w:t>
      </w:r>
    </w:p>
    <w:p>
      <w:pPr>
        <w:pStyle w:val="Heading2"/>
        <w:spacing w:after="120" w:before="360"/>
      </w:pPr>
      <w:r>
        <w:rPr>
          <w:rFonts w:ascii="Arial" w:cs="Arial" w:eastAsia="Arial" w:hAnsi="Arial"/>
          <w:b/>
          <w:bCs/>
          <w:color w:val="1A1F2B"/>
          <w:sz w:val="28"/>
          <w:szCs w:val="28"/>
        </w:rPr>
        <w:t xml:space="preserve">Brand Positioning Statement</w:t>
      </w:r>
    </w:p>
    <w:p>
      <w:pPr>
        <w:pBdr>
          <w:left w:val="single" w:color="0D7C66" w:sz="6" w:space="8"/>
        </w:pBdr>
        <w:spacing w:after="160" w:before="160"/>
        <w:ind w:left="720"/>
      </w:pPr>
      <w:r>
        <w:rPr>
          <w:rFonts w:ascii="Arial" w:cs="Arial" w:eastAsia="Arial" w:hAnsi="Arial"/>
          <w:i/>
          <w:iCs/>
          <w:color w:val="4B5563"/>
          <w:sz w:val="22"/>
          <w:szCs w:val="22"/>
        </w:rPr>
        <w:t xml:space="preserve">For golf coaches who take their craft seriously, Looper.AI is the coaching copilot that thinks alongside you during every lesson. Unlike data tools that show you numbers, Looper.AI detects what phase of the lesson you’re in, surfaces insights in real time, and helps you decide what to try next — with visible reasoning and calibrated confidence.</w:t>
      </w:r>
    </w:p>
    <w:p>
      <w:pPr>
        <w:pStyle w:val="Heading2"/>
        <w:spacing w:after="120" w:before="360"/>
      </w:pPr>
      <w:r>
        <w:rPr>
          <w:rFonts w:ascii="Arial" w:cs="Arial" w:eastAsia="Arial" w:hAnsi="Arial"/>
          <w:b/>
          <w:bCs/>
          <w:color w:val="1A1F2B"/>
          <w:sz w:val="28"/>
          <w:szCs w:val="28"/>
        </w:rPr>
        <w:t xml:space="preserve">What We Disrupt</w:t>
      </w:r>
    </w:p>
    <w:p>
      <w:pPr>
        <w:spacing w:after="80" w:before="80"/>
      </w:pPr>
      <w:r>
        <w:rPr>
          <w:rFonts w:ascii="Arial" w:cs="Arial" w:eastAsia="Arial" w:hAnsi="Arial"/>
          <w:color w:val="4B5563"/>
          <w:sz w:val="22"/>
          <w:szCs w:val="22"/>
        </w:rPr>
        <w:t xml:space="preserve">We disrupt the process, not the people. Today, even excellent coaching involves significant memory loss between sessions, cue selection based on habit rather than evidence, and no systematic way to learn what actually worked. Looper.AI replaces guesswork with engineering. But the critical nuance is that we frame this as empowerment, not accusation. We are not saying practitioners are doing it wrong. We are saying they have been doing it without a thinking partner that matches the quality of their expertise.</w:t>
      </w:r>
    </w:p>
    <w:p>
      <w:pPr>
        <w:pStyle w:val="Heading2"/>
        <w:spacing w:after="120" w:before="360"/>
      </w:pPr>
      <w:r>
        <w:rPr>
          <w:rFonts w:ascii="Arial" w:cs="Arial" w:eastAsia="Arial" w:hAnsi="Arial"/>
          <w:b/>
          <w:bCs/>
          <w:color w:val="1A1F2B"/>
          <w:sz w:val="28"/>
          <w:szCs w:val="28"/>
        </w:rPr>
        <w:t xml:space="preserve">Competitive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Category</w:t>
            </w:r>
          </w:p>
        </w:tc>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What exists today</w:t>
            </w:r>
          </w:p>
        </w:tc>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What Looper.AI provides</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Data capture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Launch monitors give numbers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Persistent record that builds itself through ambient capture with metadata and device mapping</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Diagnosis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Coach interprets data mentally</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Probabilistic diagnosis with evolving confidence and limiting-factor hierarchy, visible during the lesson</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Next action</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Experience and habit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AI-suggested drills and cues with expected improvement, surfaced in real time during intervention phase</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Memory</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Notes, spreadsheets, or nothing</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Longitudinal player models that learn across sessions and auto-assemble pre-session briefings</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Lesson structure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Ad-hoc, coach-dependent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Auto-detected lesson phases (Catch-up → Diagnosis → Intervention → Review) with visible timeline</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Validation</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"That looked good"</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Confidence bands, repeatability scoring, and visible AI reasoning the coach can verify</w:t>
            </w:r>
          </w:p>
        </w:tc>
      </w:tr>
    </w:tbl>
    <w:p>
      <w:r>
        <w:br w:type="page"/>
      </w:r>
    </w:p>
    <w:p>
      <w:pPr>
        <w:pStyle w:val="Heading1"/>
        <w:spacing w:after="120" w:before="360"/>
      </w:pPr>
      <w:r>
        <w:rPr>
          <w:rFonts w:ascii="Arial" w:cs="Arial" w:eastAsia="Arial" w:hAnsi="Arial"/>
          <w:b/>
          <w:bCs/>
          <w:color w:val="1A1F2B"/>
          <w:sz w:val="32"/>
          <w:szCs w:val="32"/>
        </w:rPr>
        <w:t xml:space="preserve">4. Target Audiences</w:t>
      </w:r>
    </w:p>
    <w:p>
      <w:pPr>
        <w:pStyle w:val="Heading2"/>
        <w:spacing w:after="120" w:before="360"/>
      </w:pPr>
      <w:r>
        <w:rPr>
          <w:rFonts w:ascii="Arial" w:cs="Arial" w:eastAsia="Arial" w:hAnsi="Arial"/>
          <w:b/>
          <w:bCs/>
          <w:color w:val="1A1F2B"/>
          <w:sz w:val="28"/>
          <w:szCs w:val="28"/>
        </w:rPr>
        <w:t xml:space="preserve">Primary: The Serious Coach</w:t>
      </w:r>
    </w:p>
    <w:p>
      <w:pPr>
        <w:spacing w:after="80" w:before="80"/>
      </w:pPr>
      <w:r>
        <w:rPr>
          <w:rFonts w:ascii="Arial" w:cs="Arial" w:eastAsia="Arial" w:hAnsi="Arial"/>
          <w:color w:val="4B5563"/>
          <w:sz w:val="22"/>
          <w:szCs w:val="22"/>
        </w:rPr>
        <w:t xml:space="preserve">Academy directors and head teaching professionals who view their work as a craft and are frustrated by the gap between what they know and what their tools let them prove.</w:t>
      </w:r>
    </w:p>
    <w:p>
      <w:pPr>
        <w:pStyle w:val="Heading3"/>
        <w:spacing w:after="120" w:before="360"/>
      </w:pPr>
      <w:r>
        <w:rPr>
          <w:rFonts w:ascii="Arial" w:cs="Arial" w:eastAsia="Arial" w:hAnsi="Arial"/>
          <w:b/>
          <w:bCs/>
          <w:color w:val="1A1F2B"/>
          <w:sz w:val="24"/>
          <w:szCs w:val="24"/>
        </w:rPr>
        <w:t xml:space="preserve">Audience Archetype: "The Engineer Who Doesn’t Know It Yet"</w:t>
      </w:r>
    </w:p>
    <w:p>
      <w:pPr>
        <w:pStyle w:val="ListParagraph"/>
        <w:numPr>
          <w:ilvl w:val="0"/>
          <w:numId w:val="2"/>
        </w:numPr>
        <w:spacing w:after="40" w:before="40"/>
      </w:pPr>
      <w:r>
        <w:rPr>
          <w:rFonts w:ascii="Arial" w:cs="Arial" w:eastAsia="Arial" w:hAnsi="Arial"/>
          <w:color w:val="4B5563"/>
          <w:sz w:val="22"/>
          <w:szCs w:val="22"/>
        </w:rPr>
        <w:t xml:space="preserve">Already thinks in systems: cause and effect, feedback loops, repeatable process</w:t>
      </w:r>
    </w:p>
    <w:p>
      <w:pPr>
        <w:pStyle w:val="ListParagraph"/>
        <w:numPr>
          <w:ilvl w:val="0"/>
          <w:numId w:val="2"/>
        </w:numPr>
        <w:spacing w:after="40" w:before="40"/>
      </w:pPr>
      <w:r>
        <w:rPr>
          <w:rFonts w:ascii="Arial" w:cs="Arial" w:eastAsia="Arial" w:hAnsi="Arial"/>
          <w:color w:val="4B5563"/>
          <w:sz w:val="22"/>
          <w:szCs w:val="22"/>
        </w:rPr>
        <w:t xml:space="preserve">Wants to be more rigorous but lacks the tools and time to build their own framework</w:t>
      </w:r>
    </w:p>
    <w:p>
      <w:pPr>
        <w:pStyle w:val="ListParagraph"/>
        <w:numPr>
          <w:ilvl w:val="0"/>
          <w:numId w:val="2"/>
        </w:numPr>
        <w:spacing w:after="40" w:before="40"/>
      </w:pPr>
      <w:r>
        <w:rPr>
          <w:rFonts w:ascii="Arial" w:cs="Arial" w:eastAsia="Arial" w:hAnsi="Arial"/>
          <w:color w:val="4B5563"/>
          <w:sz w:val="22"/>
          <w:szCs w:val="22"/>
        </w:rPr>
        <w:t xml:space="preserve">Skeptical of AI hype; needs to see it work before trusting it</w:t>
      </w:r>
    </w:p>
    <w:p>
      <w:pPr>
        <w:pStyle w:val="ListParagraph"/>
        <w:numPr>
          <w:ilvl w:val="0"/>
          <w:numId w:val="2"/>
        </w:numPr>
        <w:spacing w:after="40" w:before="40"/>
      </w:pPr>
      <w:r>
        <w:rPr>
          <w:rFonts w:ascii="Arial" w:cs="Arial" w:eastAsia="Arial" w:hAnsi="Arial"/>
          <w:color w:val="4B5563"/>
          <w:sz w:val="22"/>
          <w:szCs w:val="22"/>
        </w:rPr>
        <w:t xml:space="preserve">Deeply protective of their expertise and their relationship with players</w:t>
      </w:r>
    </w:p>
    <w:p>
      <w:pPr>
        <w:pStyle w:val="ListParagraph"/>
        <w:numPr>
          <w:ilvl w:val="0"/>
          <w:numId w:val="2"/>
        </w:numPr>
        <w:spacing w:after="40" w:before="40"/>
      </w:pPr>
      <w:r>
        <w:rPr>
          <w:rFonts w:ascii="Arial" w:cs="Arial" w:eastAsia="Arial" w:hAnsi="Arial"/>
          <w:color w:val="4B5563"/>
          <w:sz w:val="22"/>
          <w:szCs w:val="22"/>
        </w:rPr>
        <w:t xml:space="preserve">Will adopt a tool that makes them look smarter and feel more in control, not less</w:t>
      </w:r>
    </w:p>
    <w:p>
      <w:pPr>
        <w:pStyle w:val="Heading3"/>
        <w:spacing w:after="120" w:before="360"/>
      </w:pPr>
      <w:r>
        <w:rPr>
          <w:rFonts w:ascii="Arial" w:cs="Arial" w:eastAsia="Arial" w:hAnsi="Arial"/>
          <w:b/>
          <w:bCs/>
          <w:color w:val="1A1F2B"/>
          <w:sz w:val="24"/>
          <w:szCs w:val="24"/>
        </w:rPr>
        <w:t xml:space="preserve">What They Need to Believe</w:t>
      </w:r>
    </w:p>
    <w:p>
      <w:pPr>
        <w:pStyle w:val="ListParagraph"/>
        <w:numPr>
          <w:ilvl w:val="0"/>
          <w:numId w:val="2"/>
        </w:numPr>
        <w:spacing w:after="40" w:before="40"/>
      </w:pPr>
      <w:r>
        <w:rPr>
          <w:rFonts w:ascii="Arial" w:cs="Arial" w:eastAsia="Arial" w:hAnsi="Arial"/>
          <w:color w:val="4B5563"/>
          <w:sz w:val="22"/>
          <w:szCs w:val="22"/>
        </w:rPr>
        <w:t xml:space="preserve">"This system understands my job."</w:t>
      </w:r>
    </w:p>
    <w:p>
      <w:pPr>
        <w:pStyle w:val="ListParagraph"/>
        <w:numPr>
          <w:ilvl w:val="0"/>
          <w:numId w:val="2"/>
        </w:numPr>
        <w:spacing w:after="40" w:before="40"/>
      </w:pPr>
      <w:r>
        <w:rPr>
          <w:rFonts w:ascii="Arial" w:cs="Arial" w:eastAsia="Arial" w:hAnsi="Arial"/>
          <w:color w:val="4B5563"/>
          <w:sz w:val="22"/>
          <w:szCs w:val="22"/>
        </w:rPr>
        <w:t xml:space="preserve">"It thinks alongside me, not instead of me."</w:t>
      </w:r>
    </w:p>
    <w:p>
      <w:pPr>
        <w:pStyle w:val="ListParagraph"/>
        <w:numPr>
          <w:ilvl w:val="0"/>
          <w:numId w:val="2"/>
        </w:numPr>
        <w:spacing w:after="40" w:before="40"/>
      </w:pPr>
      <w:r>
        <w:rPr>
          <w:rFonts w:ascii="Arial" w:cs="Arial" w:eastAsia="Arial" w:hAnsi="Arial"/>
          <w:color w:val="4B5563"/>
          <w:sz w:val="22"/>
          <w:szCs w:val="22"/>
        </w:rPr>
        <w:t xml:space="preserve">"I can override it anytime, and it learns from my decisions."</w:t>
      </w:r>
    </w:p>
    <w:p>
      <w:pPr>
        <w:pStyle w:val="ListParagraph"/>
        <w:numPr>
          <w:ilvl w:val="0"/>
          <w:numId w:val="2"/>
        </w:numPr>
        <w:spacing w:after="40" w:before="40"/>
      </w:pPr>
      <w:r>
        <w:rPr>
          <w:rFonts w:ascii="Arial" w:cs="Arial" w:eastAsia="Arial" w:hAnsi="Arial"/>
          <w:color w:val="4B5563"/>
          <w:sz w:val="22"/>
          <w:szCs w:val="22"/>
        </w:rPr>
        <w:t xml:space="preserve">"My players will see the difference."</w:t>
      </w:r>
    </w:p>
    <w:p>
      <w:pPr>
        <w:pStyle w:val="Heading2"/>
        <w:spacing w:after="120" w:before="360"/>
      </w:pPr>
      <w:r>
        <w:rPr>
          <w:rFonts w:ascii="Arial" w:cs="Arial" w:eastAsia="Arial" w:hAnsi="Arial"/>
          <w:b/>
          <w:bCs/>
          <w:color w:val="1A1F2B"/>
          <w:sz w:val="28"/>
          <w:szCs w:val="28"/>
        </w:rPr>
        <w:t xml:space="preserve">Secondary: The Decision-Maker</w:t>
      </w:r>
    </w:p>
    <w:p>
      <w:pPr>
        <w:spacing w:after="80" w:before="80"/>
      </w:pPr>
      <w:r>
        <w:rPr>
          <w:rFonts w:ascii="Arial" w:cs="Arial" w:eastAsia="Arial" w:hAnsi="Arial"/>
          <w:color w:val="4B5563"/>
          <w:sz w:val="22"/>
          <w:szCs w:val="22"/>
        </w:rPr>
        <w:t xml:space="preserve">Academy owners and multi-location operators who evaluate technology based on business outcomes: consistency across staff, retention, and competitive differentiation.</w:t>
      </w:r>
    </w:p>
    <w:p>
      <w:pPr>
        <w:pStyle w:val="ListParagraph"/>
        <w:numPr>
          <w:ilvl w:val="0"/>
          <w:numId w:val="2"/>
        </w:numPr>
        <w:spacing w:after="40" w:before="40"/>
      </w:pPr>
      <w:r>
        <w:rPr>
          <w:rFonts w:ascii="Arial" w:cs="Arial" w:eastAsia="Arial" w:hAnsi="Arial"/>
          <w:color w:val="4B5563"/>
          <w:sz w:val="22"/>
          <w:szCs w:val="22"/>
        </w:rPr>
        <w:t xml:space="preserve">Cares about scalable quality: can a junior instructor deliver coaching-program-grade results?</w:t>
      </w:r>
    </w:p>
    <w:p>
      <w:pPr>
        <w:pStyle w:val="ListParagraph"/>
        <w:numPr>
          <w:ilvl w:val="0"/>
          <w:numId w:val="2"/>
        </w:numPr>
        <w:spacing w:after="40" w:before="40"/>
      </w:pPr>
      <w:r>
        <w:rPr>
          <w:rFonts w:ascii="Arial" w:cs="Arial" w:eastAsia="Arial" w:hAnsi="Arial"/>
          <w:color w:val="4B5563"/>
          <w:sz w:val="22"/>
          <w:szCs w:val="22"/>
        </w:rPr>
        <w:t xml:space="preserve">Wants data on what their operation is actually doing (not just what players are doing)</w:t>
      </w:r>
    </w:p>
    <w:p>
      <w:pPr>
        <w:pStyle w:val="ListParagraph"/>
        <w:numPr>
          <w:ilvl w:val="0"/>
          <w:numId w:val="2"/>
        </w:numPr>
        <w:spacing w:after="40" w:before="40"/>
      </w:pPr>
      <w:r>
        <w:rPr>
          <w:rFonts w:ascii="Arial" w:cs="Arial" w:eastAsia="Arial" w:hAnsi="Arial"/>
          <w:color w:val="4B5563"/>
          <w:sz w:val="22"/>
          <w:szCs w:val="22"/>
        </w:rPr>
        <w:t xml:space="preserve">Responsive to brand signals: credibility, modernity, and the appearance of rigor</w:t>
      </w:r>
    </w:p>
    <w:p>
      <w:pPr>
        <w:pStyle w:val="Heading2"/>
        <w:spacing w:after="120" w:before="360"/>
      </w:pPr>
      <w:r>
        <w:rPr>
          <w:rFonts w:ascii="Arial" w:cs="Arial" w:eastAsia="Arial" w:hAnsi="Arial"/>
          <w:b/>
          <w:bCs/>
          <w:color w:val="1A1F2B"/>
          <w:sz w:val="28"/>
          <w:szCs w:val="28"/>
        </w:rPr>
        <w:t xml:space="preserve">Tertiary (Active): The Player</w:t>
      </w:r>
    </w:p>
    <w:p>
      <w:pPr>
        <w:spacing w:after="80" w:before="80"/>
      </w:pPr>
      <w:r>
        <w:rPr>
          <w:rFonts w:ascii="Arial" w:cs="Arial" w:eastAsia="Arial" w:hAnsi="Arial"/>
          <w:color w:val="4B5563"/>
          <w:sz w:val="22"/>
          <w:szCs w:val="22"/>
        </w:rPr>
        <w:t xml:space="preserve">Players interact with Looper.AI through the Player Portal — session recaps, practice plans, progress tracking, and the “Ask Looper” conversational interface. The visual language should feel expert and trustworthy to a consumer without being alienating.</w:t>
      </w:r>
    </w:p>
    <w:p>
      <w:r>
        <w:br w:type="page"/>
      </w:r>
    </w:p>
    <w:p>
      <w:pPr>
        <w:pStyle w:val="Heading1"/>
        <w:spacing w:after="120" w:before="360"/>
      </w:pPr>
      <w:r>
        <w:rPr>
          <w:rFonts w:ascii="Arial" w:cs="Arial" w:eastAsia="Arial" w:hAnsi="Arial"/>
          <w:b/>
          <w:bCs/>
          <w:color w:val="1A1F2B"/>
          <w:sz w:val="32"/>
          <w:szCs w:val="32"/>
        </w:rPr>
        <w:t xml:space="preserve">5. Brand Personality &amp; Voice</w:t>
      </w:r>
    </w:p>
    <w:p>
      <w:pPr>
        <w:pStyle w:val="Heading2"/>
        <w:spacing w:after="120" w:before="360"/>
      </w:pPr>
      <w:r>
        <w:rPr>
          <w:rFonts w:ascii="Arial" w:cs="Arial" w:eastAsia="Arial" w:hAnsi="Arial"/>
          <w:b/>
          <w:bCs/>
          <w:color w:val="1A1F2B"/>
          <w:sz w:val="28"/>
          <w:szCs w:val="28"/>
        </w:rPr>
        <w:t xml:space="preserve">Personality Framework</w:t>
      </w:r>
    </w:p>
    <w:p>
      <w:pPr>
        <w:spacing w:after="80" w:before="80"/>
      </w:pPr>
      <w:r>
        <w:rPr>
          <w:rFonts w:ascii="Arial" w:cs="Arial" w:eastAsia="Arial" w:hAnsi="Arial"/>
          <w:color w:val="4B5563"/>
          <w:sz w:val="22"/>
          <w:szCs w:val="22"/>
        </w:rPr>
        <w:t xml:space="preserve">The brand personality should thread a specific needle: technically serious without being cold, challenger-minded without being arrogant, and deeply respectful of practitioner expertise while clearly offering something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Trait</w:t>
            </w:r>
          </w:p>
        </w:tc>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What it means</w:t>
            </w:r>
          </w:p>
        </w:tc>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What it does NOT mean</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Precise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Every claim is backed by data; uncertainty is stated honestly; no hand-waving</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Clinical, sterile, or unapproachable. We explain, we don’t lecture.</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Empowering</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The tool makes the practitioner the hero, not the software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Patronizing. We never say "you were doing it wrong." We say "now you have a thinking partner."</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Quietly Confident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We know this is better. We don’t need to shout.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Arrogant, dismissive of tradition, or Silicon Valley techbro. No "disruption" for its own sake.</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Craft-Respecting</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We treat coaching as an engineering discipline that deserves proper tools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Nostalgic or conservative. We respect the craft, not the inefficiency.</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Clear</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Complex ideas explained with zero jargon unless the audience uses it naturally</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Dumbed down. Practitioners are smart. We match their level.</w:t>
            </w:r>
          </w:p>
        </w:tc>
      </w:tr>
    </w:tbl>
    <w:p>
      <w:pPr>
        <w:spacing w:after="0" w:before="200"/>
      </w:pPr>
    </w:p>
    <w:p>
      <w:pPr>
        <w:pStyle w:val="Heading2"/>
        <w:spacing w:after="120" w:before="360"/>
      </w:pPr>
      <w:r>
        <w:rPr>
          <w:rFonts w:ascii="Arial" w:cs="Arial" w:eastAsia="Arial" w:hAnsi="Arial"/>
          <w:b/>
          <w:bCs/>
          <w:color w:val="1A1F2B"/>
          <w:sz w:val="28"/>
          <w:szCs w:val="28"/>
        </w:rPr>
        <w:t xml:space="preserve">Tone of Voice</w:t>
      </w:r>
    </w:p>
    <w:p>
      <w:pPr>
        <w:pStyle w:val="Heading3"/>
        <w:spacing w:after="120" w:before="360"/>
      </w:pPr>
      <w:r>
        <w:rPr>
          <w:rFonts w:ascii="Arial" w:cs="Arial" w:eastAsia="Arial" w:hAnsi="Arial"/>
          <w:b/>
          <w:bCs/>
          <w:color w:val="1A1F2B"/>
          <w:sz w:val="24"/>
          <w:szCs w:val="24"/>
        </w:rPr>
        <w:t xml:space="preserve">How We Sound</w:t>
      </w:r>
    </w:p>
    <w:p>
      <w:pPr>
        <w:pStyle w:val="ListParagraph"/>
        <w:numPr>
          <w:ilvl w:val="0"/>
          <w:numId w:val="2"/>
        </w:numPr>
        <w:spacing w:after="40" w:before="40"/>
      </w:pPr>
      <w:r>
        <w:rPr>
          <w:rFonts w:ascii="Arial" w:cs="Arial" w:eastAsia="Arial" w:hAnsi="Arial"/>
          <w:color w:val="4B5563"/>
          <w:sz w:val="22"/>
          <w:szCs w:val="22"/>
        </w:rPr>
        <w:t xml:space="preserve">Like the smartest person in the lesson bay who never talks down to anyone</w:t>
      </w:r>
    </w:p>
    <w:p>
      <w:pPr>
        <w:pStyle w:val="ListParagraph"/>
        <w:numPr>
          <w:ilvl w:val="0"/>
          <w:numId w:val="2"/>
        </w:numPr>
        <w:spacing w:after="40" w:before="40"/>
      </w:pPr>
      <w:r>
        <w:rPr>
          <w:rFonts w:ascii="Arial" w:cs="Arial" w:eastAsia="Arial" w:hAnsi="Arial"/>
          <w:color w:val="4B5563"/>
          <w:sz w:val="22"/>
          <w:szCs w:val="22"/>
        </w:rPr>
        <w:t xml:space="preserve">Like an engineer who also plays golf and gets why feel matters</w:t>
      </w:r>
    </w:p>
    <w:p>
      <w:pPr>
        <w:pStyle w:val="ListParagraph"/>
        <w:numPr>
          <w:ilvl w:val="0"/>
          <w:numId w:val="2"/>
        </w:numPr>
        <w:spacing w:after="40" w:before="40"/>
      </w:pPr>
      <w:r>
        <w:rPr>
          <w:rFonts w:ascii="Arial" w:cs="Arial" w:eastAsia="Arial" w:hAnsi="Arial"/>
          <w:color w:val="4B5563"/>
          <w:sz w:val="22"/>
          <w:szCs w:val="22"/>
        </w:rPr>
        <w:t xml:space="preserve">Like a thinking partner who shows their reasoning, not a consultant who delivers a 50-slide deck</w:t>
      </w:r>
    </w:p>
    <w:p>
      <w:pPr>
        <w:pStyle w:val="Heading3"/>
        <w:spacing w:after="120" w:before="360"/>
      </w:pPr>
      <w:r>
        <w:rPr>
          <w:rFonts w:ascii="Arial" w:cs="Arial" w:eastAsia="Arial" w:hAnsi="Arial"/>
          <w:b/>
          <w:bCs/>
          <w:color w:val="1A1F2B"/>
          <w:sz w:val="24"/>
          <w:szCs w:val="24"/>
        </w:rPr>
        <w:t xml:space="preserve">Verbal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Do</w:t>
            </w:r>
          </w:p>
        </w:tc>
        <w:tc>
          <w:tcPr>
            <w:tcW w:type="dxa" w:w="468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Don’t</w:t>
            </w:r>
          </w:p>
        </w:tc>
      </w:tr>
      <w:tr>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"The data suggests X with Y confidence"</w:t>
            </w:r>
          </w:p>
        </w:tc>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"Our AI determined that X"</w:t>
            </w:r>
          </w:p>
        </w:tc>
      </w:tr>
      <w:tr>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"What to try next"</w:t>
            </w:r>
          </w:p>
        </w:tc>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"AI-powered optimization"</w:t>
            </w:r>
          </w:p>
        </w:tc>
      </w:tr>
      <w:tr>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"Your expertise, with a thinking partner"</w:t>
            </w:r>
          </w:p>
        </w:tc>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"Replacing intuition with intelligence"</w:t>
            </w:r>
          </w:p>
        </w:tc>
      </w:tr>
      <w:tr>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"Uncertainty is honest; false precision isn’t"</w:t>
            </w:r>
          </w:p>
        </w:tc>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"Guaranteed results"</w:t>
            </w:r>
          </w:p>
        </w:tc>
      </w:tr>
      <w:tr>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"Built for how you actually teach"</w:t>
            </w:r>
          </w:p>
        </w:tc>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"Revolutionary paradigm shift"</w:t>
            </w:r>
          </w:p>
        </w:tc>
      </w:tr>
      <w:tr>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Use golf language naturally (strike, dispersion, carry windows)</w:t>
            </w:r>
          </w:p>
        </w:tc>
        <w:tc>
          <w:tcPr>
            <w:tcW w:type="dxa" w:w="468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Use AI jargon the audience doesn’t (embeddings, bandits, counterfactual)</w:t>
            </w:r>
          </w:p>
        </w:tc>
      </w:tr>
    </w:tbl>
    <w:p>
      <w:pPr>
        <w:spacing w:after="0" w:before="200"/>
      </w:pPr>
    </w:p>
    <w:p>
      <w:pPr>
        <w:pStyle w:val="Heading3"/>
        <w:spacing w:after="120" w:before="360"/>
      </w:pPr>
      <w:r>
        <w:rPr>
          <w:rFonts w:ascii="Arial" w:cs="Arial" w:eastAsia="Arial" w:hAnsi="Arial"/>
          <w:b/>
          <w:bCs/>
          <w:color w:val="1A1F2B"/>
          <w:sz w:val="24"/>
          <w:szCs w:val="24"/>
        </w:rPr>
        <w:t xml:space="preserve">Example Copy Lines (Directional)</w:t>
      </w:r>
    </w:p>
    <w:p>
      <w:pPr>
        <w:pBdr>
          <w:left w:val="single" w:color="0D7C66" w:sz="6" w:space="8"/>
        </w:pBdr>
        <w:spacing w:after="160" w:before="160"/>
        <w:ind w:left="720"/>
      </w:pPr>
      <w:r>
        <w:rPr>
          <w:rFonts w:ascii="Arial" w:cs="Arial" w:eastAsia="Arial" w:hAnsi="Arial"/>
          <w:i/>
          <w:iCs/>
          <w:color w:val="4B5563"/>
          <w:sz w:val="22"/>
          <w:szCs w:val="22"/>
        </w:rPr>
        <w:t xml:space="preserve">"Expertise, engineered."
"You already think this way. Now prove it."
"Better decisions, not more data."
"Every lesson is an experiment. Make it count."
"A thinking partner that keeps up."</w:t>
      </w:r>
    </w:p>
    <w:p>
      <w:r>
        <w:br w:type="page"/>
      </w:r>
    </w:p>
    <w:p>
      <w:pPr>
        <w:pStyle w:val="Heading1"/>
        <w:spacing w:after="120" w:before="360"/>
      </w:pPr>
      <w:r>
        <w:rPr>
          <w:rFonts w:ascii="Arial" w:cs="Arial" w:eastAsia="Arial" w:hAnsi="Arial"/>
          <w:b/>
          <w:bCs/>
          <w:color w:val="1A1F2B"/>
          <w:sz w:val="32"/>
          <w:szCs w:val="32"/>
        </w:rPr>
        <w:t xml:space="preserve">6. Visual Identity Direction</w:t>
      </w:r>
    </w:p>
    <w:p>
      <w:pPr>
        <w:spacing w:after="80" w:before="80"/>
      </w:pPr>
      <w:r>
        <w:rPr>
          <w:rFonts w:ascii="Arial" w:cs="Arial" w:eastAsia="Arial" w:hAnsi="Arial"/>
          <w:color w:val="4B5563"/>
          <w:sz w:val="22"/>
          <w:szCs w:val="22"/>
        </w:rPr>
        <w:t xml:space="preserve">The following provides strategic direction and constraints for the visual identity. The agency should explore creative executions within these guardrails.</w:t>
      </w:r>
    </w:p>
    <w:p>
      <w:pPr>
        <w:pStyle w:val="Heading2"/>
        <w:spacing w:after="120" w:before="360"/>
      </w:pPr>
      <w:r>
        <w:rPr>
          <w:rFonts w:ascii="Arial" w:cs="Arial" w:eastAsia="Arial" w:hAnsi="Arial"/>
          <w:b/>
          <w:bCs/>
          <w:color w:val="1A1F2B"/>
          <w:sz w:val="28"/>
          <w:szCs w:val="28"/>
        </w:rPr>
        <w:t xml:space="preserve">Logo &amp; Mark Principles</w:t>
      </w:r>
    </w:p>
    <w:p>
      <w:pPr>
        <w:pStyle w:val="ListParagraph"/>
        <w:numPr>
          <w:ilvl w:val="0"/>
          <w:numId w:val="2"/>
        </w:numPr>
        <w:spacing w:after="40" w:before="40"/>
      </w:pPr>
      <w:r>
        <w:rPr>
          <w:rFonts w:ascii="Arial" w:cs="Arial" w:eastAsia="Arial" w:hAnsi="Arial"/>
          <w:color w:val="4B5563"/>
          <w:sz w:val="22"/>
          <w:szCs w:val="22"/>
        </w:rPr>
        <w:t xml:space="preserve">The wordmark is LOOPER.AI set in Cabinet Grotesk 800 weight, letter-spacing 0.05–0.06em. LOOPER in near-black (#1A1F2B), .AI in deep teal (#0D7C66). The color split on .AI is the primary brand signature.</w:t>
      </w:r>
    </w:p>
    <w:p>
      <w:pPr>
        <w:pStyle w:val="ListParagraph"/>
        <w:numPr>
          <w:ilvl w:val="0"/>
          <w:numId w:val="2"/>
        </w:numPr>
        <w:spacing w:after="40" w:before="40"/>
      </w:pPr>
      <w:r>
        <w:rPr>
          <w:rFonts w:ascii="Arial" w:cs="Arial" w:eastAsia="Arial" w:hAnsi="Arial"/>
          <w:color w:val="4B5563"/>
          <w:sz w:val="22"/>
          <w:szCs w:val="22"/>
        </w:rPr>
        <w:t xml:space="preserve">The logo must work at small scale (app icon, bay screen corner, report header) and at large scale (signage, pitch deck cover).</w:t>
      </w:r>
    </w:p>
    <w:p>
      <w:pPr>
        <w:pStyle w:val="ListParagraph"/>
        <w:numPr>
          <w:ilvl w:val="0"/>
          <w:numId w:val="2"/>
        </w:numPr>
        <w:spacing w:after="40" w:before="40"/>
      </w:pPr>
      <w:r>
        <w:rPr>
          <w:rFonts w:ascii="Arial" w:cs="Arial" w:eastAsia="Arial" w:hAnsi="Arial"/>
          <w:color w:val="4B5563"/>
          <w:sz w:val="22"/>
          <w:szCs w:val="22"/>
        </w:rPr>
        <w:t xml:space="preserve">An optional standalone mark/icon may be developed, but the wordmark is the primary expression.</w:t>
      </w:r>
    </w:p>
    <w:p>
      <w:pPr>
        <w:pStyle w:val="ListParagraph"/>
        <w:numPr>
          <w:ilvl w:val="0"/>
          <w:numId w:val="2"/>
        </w:numPr>
        <w:spacing w:after="40" w:before="40"/>
      </w:pPr>
      <w:r>
        <w:rPr>
          <w:rFonts w:ascii="Arial" w:cs="Arial" w:eastAsia="Arial" w:hAnsi="Arial"/>
          <w:color w:val="4B5563"/>
          <w:sz w:val="22"/>
          <w:szCs w:val="22"/>
        </w:rPr>
        <w:t xml:space="preserve">The ".AI" suffix is visually integrated, not tacked on. It is part of the name, not a tagline.</w:t>
      </w:r>
    </w:p>
    <w:p>
      <w:pPr>
        <w:pStyle w:val="ListParagraph"/>
        <w:numPr>
          <w:ilvl w:val="0"/>
          <w:numId w:val="2"/>
        </w:numPr>
        <w:spacing w:after="40" w:before="40"/>
      </w:pPr>
      <w:r>
        <w:rPr>
          <w:rFonts w:ascii="Arial" w:cs="Arial" w:eastAsia="Arial" w:hAnsi="Arial"/>
          <w:color w:val="4B5563"/>
          <w:sz w:val="22"/>
          <w:szCs w:val="22"/>
        </w:rPr>
        <w:t xml:space="preserve">Avoid: overly literal golf imagery (clubs, balls, tees). The brand is about the intelligence layer, not the sport’s physical artifacts.</w:t>
      </w:r>
    </w:p>
    <w:p>
      <w:pPr>
        <w:pStyle w:val="ListParagraph"/>
        <w:numPr>
          <w:ilvl w:val="0"/>
          <w:numId w:val="2"/>
        </w:numPr>
        <w:spacing w:after="40" w:before="40"/>
      </w:pPr>
      <w:r>
        <w:rPr>
          <w:rFonts w:ascii="Arial" w:cs="Arial" w:eastAsia="Arial" w:hAnsi="Arial"/>
          <w:color w:val="4B5563"/>
          <w:sz w:val="22"/>
          <w:szCs w:val="22"/>
        </w:rPr>
        <w:t xml:space="preserve">Consider: subtle references to iteration, precision, measurement, or the feedback loop. These should be felt, not spelled out.</w:t>
      </w:r>
    </w:p>
    <w:p>
      <w:pPr>
        <w:pStyle w:val="Heading2"/>
        <w:spacing w:after="120" w:before="360"/>
      </w:pPr>
      <w:r>
        <w:rPr>
          <w:rFonts w:ascii="Arial" w:cs="Arial" w:eastAsia="Arial" w:hAnsi="Arial"/>
          <w:b/>
          <w:bCs/>
          <w:color w:val="1A1F2B"/>
          <w:sz w:val="28"/>
          <w:szCs w:val="28"/>
        </w:rPr>
        <w:t xml:space="preserve">Color System (Finalized)</w:t>
      </w:r>
    </w:p>
    <w:p>
      <w:pPr>
        <w:spacing w:after="80" w:before="80"/>
      </w:pPr>
      <w:r>
        <w:rPr>
          <w:rFonts w:ascii="Arial" w:cs="Arial" w:eastAsia="Arial" w:hAnsi="Arial"/>
          <w:color w:val="4B5563"/>
          <w:sz w:val="22"/>
          <w:szCs w:val="22"/>
        </w:rPr>
        <w:t xml:space="preserve">The palette is clinical, precise, and light-foundation. A surgical instrument aesthetic with a single deep teal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Role</w:t>
            </w:r>
          </w:p>
        </w:tc>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Specification</w:t>
            </w:r>
          </w:p>
        </w:tc>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Avoid</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Foundation</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Near-white #F6F7F9 background, pure white #FFFFFF cards, cool gray #DFE2E7 borders. Clinical light is the default product surface.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Dark backgrounds as default (reserve for Lesson Sidebar in bay environments). Warm/cream tones.</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Brand Accent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Deep teal #0D7C66. Used for .AI in logo, CTAs, links, active states. Single accent color across the entire system.</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Royal blue (TrackMan), bright emerald (too generic), multiple accent colors.</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Text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Near-black #1A1F2B for headings, slate #4B5563 for body, gray #9CA3AF for labels. Three-tier hierarchy.</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Pure black (#000000). Warm grays.</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Semantic</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Confidence #0FA87A (bright teal-green), Caution #D4980B (deep gold), Flag #C93B3B (muted red). Each uses tinted badge backgrounds.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Rainbow palettes. Arbitrary color coding. Bright red as primary.</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Dark Mode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Background #0C1117, surface #151D28, accent #10B981. For the Lesson Sidebar in bay environments only.</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Using dark mode as the default brand expression.</w:t>
            </w:r>
          </w:p>
        </w:tc>
      </w:tr>
    </w:tbl>
    <w:p>
      <w:pPr>
        <w:spacing w:after="0" w:before="200"/>
      </w:pPr>
    </w:p>
    <w:p>
      <w:pPr>
        <w:pStyle w:val="Heading2"/>
        <w:spacing w:after="120" w:before="360"/>
      </w:pPr>
      <w:r>
        <w:rPr>
          <w:rFonts w:ascii="Arial" w:cs="Arial" w:eastAsia="Arial" w:hAnsi="Arial"/>
          <w:b/>
          <w:bCs/>
          <w:color w:val="1A1F2B"/>
          <w:sz w:val="28"/>
          <w:szCs w:val="28"/>
        </w:rPr>
        <w:t xml:space="preserve">Typography System (Finalized)</w:t>
      </w:r>
    </w:p>
    <w:p>
      <w:pPr>
        <w:spacing w:after="80" w:before="80"/>
      </w:pPr>
      <w:r>
        <w:rPr>
          <w:rFonts w:ascii="Arial" w:cs="Arial" w:eastAsia="Arial" w:hAnsi="Arial"/>
          <w:color w:val="4B5563"/>
          <w:sz w:val="22"/>
          <w:szCs w:val="22"/>
        </w:rPr>
        <w:t xml:space="preserve">The type system uses a split-voice architecture: one font family for the brand voice (human-readable content), a separate monospaced font for the data voice (machine-generated values), and a serif for rare editorial moments.</w:t>
      </w:r>
    </w:p>
    <w:p>
      <w:pPr>
        <w:pStyle w:val="ListParagraph"/>
        <w:numPr>
          <w:ilvl w:val="0"/>
          <w:numId w:val="2"/>
        </w:numPr>
        <w:spacing w:after="40" w:before="40"/>
      </w:pPr>
      <w:r>
        <w:rPr>
          <w:rFonts w:ascii="Arial" w:cs="Arial" w:eastAsia="Arial" w:hAnsi="Arial"/>
          <w:color w:val="4B5563"/>
          <w:sz w:val="22"/>
          <w:szCs w:val="22"/>
        </w:rPr>
        <w:t xml:space="preserve">Brand voice — Cabinet Grotesk (Fontshare, free for commercial use). 800 weight for wordmark and display headings, 500 for section headings, 400 for body text.</w:t>
      </w:r>
    </w:p>
    <w:p>
      <w:pPr>
        <w:pStyle w:val="ListParagraph"/>
        <w:numPr>
          <w:ilvl w:val="0"/>
          <w:numId w:val="2"/>
        </w:numPr>
        <w:spacing w:after="40" w:before="40"/>
      </w:pPr>
      <w:r>
        <w:rPr>
          <w:rFonts w:ascii="Arial" w:cs="Arial" w:eastAsia="Arial" w:hAnsi="Arial"/>
          <w:color w:val="4B5563"/>
          <w:sz w:val="22"/>
          <w:szCs w:val="22"/>
        </w:rPr>
        <w:t xml:space="preserve">Data voice — Space Mono (Google Fonts). 700 weight for metric values and KPI numbers, 400 for labels, captions, and confidence intervals.</w:t>
      </w:r>
    </w:p>
    <w:p>
      <w:pPr>
        <w:pStyle w:val="ListParagraph"/>
        <w:numPr>
          <w:ilvl w:val="0"/>
          <w:numId w:val="2"/>
        </w:numPr>
        <w:spacing w:after="40" w:before="40"/>
      </w:pPr>
      <w:r>
        <w:rPr>
          <w:rFonts w:ascii="Arial" w:cs="Arial" w:eastAsia="Arial" w:hAnsi="Arial"/>
          <w:color w:val="4B5563"/>
          <w:sz w:val="22"/>
          <w:szCs w:val="22"/>
        </w:rPr>
        <w:t xml:space="preserve">Editorial voice — Instrument Serif italic (Google Fonts). Used sparingly for taglines, pull quotes, and editorial moments.</w:t>
      </w:r>
    </w:p>
    <w:p>
      <w:pPr>
        <w:pStyle w:val="ListParagraph"/>
        <w:numPr>
          <w:ilvl w:val="0"/>
          <w:numId w:val="2"/>
        </w:numPr>
        <w:spacing w:after="40" w:before="40"/>
      </w:pPr>
      <w:r>
        <w:rPr>
          <w:rFonts w:ascii="Arial" w:cs="Arial" w:eastAsia="Arial" w:hAnsi="Arial"/>
          <w:color w:val="4B5563"/>
          <w:sz w:val="22"/>
          <w:szCs w:val="22"/>
        </w:rPr>
        <w:t xml:space="preserve">Rule: Cabinet Grotesk never renders numbers in data cards. Space Mono never renders body paragraphs. The split is absolute.</w:t>
      </w:r>
    </w:p>
    <w:p>
      <w:r>
        <w:br w:type="page"/>
      </w:r>
    </w:p>
    <w:p>
      <w:pPr>
        <w:pStyle w:val="Heading1"/>
        <w:spacing w:after="120" w:before="360"/>
      </w:pPr>
      <w:r>
        <w:rPr>
          <w:rFonts w:ascii="Arial" w:cs="Arial" w:eastAsia="Arial" w:hAnsi="Arial"/>
          <w:b/>
          <w:bCs/>
          <w:color w:val="1A1F2B"/>
          <w:sz w:val="32"/>
          <w:szCs w:val="32"/>
        </w:rPr>
        <w:t xml:space="preserve">7. Application Priorities</w:t>
      </w:r>
    </w:p>
    <w:p>
      <w:pPr>
        <w:spacing w:after="80" w:before="80"/>
      </w:pPr>
      <w:r>
        <w:rPr>
          <w:rFonts w:ascii="Arial" w:cs="Arial" w:eastAsia="Arial" w:hAnsi="Arial"/>
          <w:color w:val="4B5563"/>
          <w:sz w:val="22"/>
          <w:szCs w:val="22"/>
        </w:rPr>
        <w:t xml:space="preserve">The brand will appear across these contexts, listed in priority order for initial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Application</w:t>
            </w:r>
          </w:p>
        </w:tc>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Context</w:t>
            </w:r>
          </w:p>
        </w:tc>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Key Requirements</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Coach Portal + Lesson Sidebar</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The coach sees the portal between lessons and the sidebar during lessons. Brand trust is built or lost here.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Portal: data-dense, scannable, full-width. Sidebar: 420–480px, dark mode, glanceable, visible AI reasoning.</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Player Portal</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Players see session recaps, progress, and the Ask Looper interface on mobile.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Professional, clear, encouraging. Expert without being alienating.</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Reports &amp; Exports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Session summaries, player progress reports shared with players.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Professional, branded but not noisy. The report IS the deliverable. PDF and print-ready.</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Website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Sales-facing for academy owners. Needs to convert skeptical professionals.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Lead with product (show the sidebar beside TrackMan). Evidence-driven.</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Pitch / Investor Deck</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Fundraising and partnership contexts.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Clean, confident, not over-designed. The brand should signal that this team builds, not pitches.</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Bay Signage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Physical presence in lesson bays.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Subtle, professional. "Powered by Looper.AI" badge treatment. OEM-grade, not sticker marketing.</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Social &amp; Content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LinkedIn, Instagram. Educational and community-building.</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Same voice as the product: precise, useful, not self-congratulatory.</w:t>
            </w:r>
          </w:p>
        </w:tc>
      </w:tr>
    </w:tbl>
    <w:p>
      <w:r>
        <w:br w:type="page"/>
      </w:r>
    </w:p>
    <w:p>
      <w:pPr>
        <w:pStyle w:val="Heading1"/>
        <w:spacing w:after="120" w:before="360"/>
      </w:pPr>
      <w:r>
        <w:rPr>
          <w:rFonts w:ascii="Arial" w:cs="Arial" w:eastAsia="Arial" w:hAnsi="Arial"/>
          <w:b/>
          <w:bCs/>
          <w:color w:val="1A1F2B"/>
          <w:sz w:val="32"/>
          <w:szCs w:val="32"/>
        </w:rPr>
        <w:t xml:space="preserve">8. Brand Guardrails</w:t>
      </w:r>
    </w:p>
    <w:p>
      <w:pPr>
        <w:pStyle w:val="Heading2"/>
        <w:spacing w:after="120" w:before="360"/>
      </w:pPr>
      <w:r>
        <w:rPr>
          <w:rFonts w:ascii="Arial" w:cs="Arial" w:eastAsia="Arial" w:hAnsi="Arial"/>
          <w:b/>
          <w:bCs/>
          <w:color w:val="1A1F2B"/>
          <w:sz w:val="28"/>
          <w:szCs w:val="28"/>
        </w:rPr>
        <w:t xml:space="preserve">Non-Negotiables</w:t>
      </w:r>
    </w:p>
    <w:p>
      <w:pPr>
        <w:pStyle w:val="ListParagraph"/>
        <w:numPr>
          <w:ilvl w:val="0"/>
          <w:numId w:val="2"/>
        </w:numPr>
        <w:spacing w:after="40" w:before="40"/>
      </w:pPr>
      <w:r>
        <w:rPr>
          <w:rFonts w:ascii="Arial" w:cs="Arial" w:eastAsia="Arial" w:hAnsi="Arial"/>
          <w:color w:val="4B5563"/>
          <w:sz w:val="22"/>
          <w:szCs w:val="22"/>
        </w:rPr>
        <w:t xml:space="preserve">Never position AI as replacing the coach. Always: thinking alongside, augmenting, systematizing, empowering.</w:t>
      </w:r>
    </w:p>
    <w:p>
      <w:pPr>
        <w:pStyle w:val="ListParagraph"/>
        <w:numPr>
          <w:ilvl w:val="0"/>
          <w:numId w:val="2"/>
        </w:numPr>
        <w:spacing w:after="40" w:before="40"/>
      </w:pPr>
      <w:r>
        <w:rPr>
          <w:rFonts w:ascii="Arial" w:cs="Arial" w:eastAsia="Arial" w:hAnsi="Arial"/>
          <w:color w:val="4B5563"/>
          <w:sz w:val="22"/>
          <w:szCs w:val="22"/>
        </w:rPr>
        <w:t xml:space="preserve">Never promise certainty. Honest uncertainty is a brand value, not a weakness.</w:t>
      </w:r>
    </w:p>
    <w:p>
      <w:pPr>
        <w:pStyle w:val="ListParagraph"/>
        <w:numPr>
          <w:ilvl w:val="0"/>
          <w:numId w:val="2"/>
        </w:numPr>
        <w:spacing w:after="40" w:before="40"/>
      </w:pPr>
      <w:r>
        <w:rPr>
          <w:rFonts w:ascii="Arial" w:cs="Arial" w:eastAsia="Arial" w:hAnsi="Arial"/>
          <w:color w:val="4B5563"/>
          <w:sz w:val="22"/>
          <w:szCs w:val="22"/>
        </w:rPr>
        <w:t xml:space="preserve">Never use generic "AI" visual tropes (glowing brains, neural nets, robots, blue light).</w:t>
      </w:r>
    </w:p>
    <w:p>
      <w:pPr>
        <w:pStyle w:val="ListParagraph"/>
        <w:numPr>
          <w:ilvl w:val="0"/>
          <w:numId w:val="2"/>
        </w:numPr>
        <w:spacing w:after="40" w:before="40"/>
      </w:pPr>
      <w:r>
        <w:rPr>
          <w:rFonts w:ascii="Arial" w:cs="Arial" w:eastAsia="Arial" w:hAnsi="Arial"/>
          <w:color w:val="4B5563"/>
          <w:sz w:val="22"/>
          <w:szCs w:val="22"/>
        </w:rPr>
        <w:t xml:space="preserve">Never talk down to the practitioner audience. They are experts. We built a tool for experts.</w:t>
      </w:r>
    </w:p>
    <w:p>
      <w:pPr>
        <w:pStyle w:val="ListParagraph"/>
        <w:numPr>
          <w:ilvl w:val="0"/>
          <w:numId w:val="2"/>
        </w:numPr>
        <w:spacing w:after="40" w:before="40"/>
      </w:pPr>
      <w:r>
        <w:rPr>
          <w:rFonts w:ascii="Arial" w:cs="Arial" w:eastAsia="Arial" w:hAnsi="Arial"/>
          <w:color w:val="4B5563"/>
          <w:sz w:val="22"/>
          <w:szCs w:val="22"/>
        </w:rPr>
        <w:t xml:space="preserve">The brand must work in B2B contexts now but be extensible to B2B2C (player-facing) later without a rebrand.</w:t>
      </w:r>
    </w:p>
    <w:p>
      <w:pPr>
        <w:pStyle w:val="Heading2"/>
        <w:spacing w:after="120" w:before="360"/>
      </w:pPr>
      <w:r>
        <w:rPr>
          <w:rFonts w:ascii="Arial" w:cs="Arial" w:eastAsia="Arial" w:hAnsi="Arial"/>
          <w:b/>
          <w:bCs/>
          <w:color w:val="1A1F2B"/>
          <w:sz w:val="28"/>
          <w:szCs w:val="28"/>
        </w:rPr>
        <w:t xml:space="preserve">Competitive Differentiation</w:t>
      </w:r>
    </w:p>
    <w:p>
      <w:pPr>
        <w:spacing w:after="80" w:before="80"/>
      </w:pPr>
      <w:r>
        <w:rPr>
          <w:rFonts w:ascii="Arial" w:cs="Arial" w:eastAsia="Arial" w:hAnsi="Arial"/>
          <w:color w:val="4B5563"/>
          <w:sz w:val="22"/>
          <w:szCs w:val="22"/>
        </w:rPr>
        <w:t xml:space="preserve">The brand must feel categorically different from:</w:t>
      </w:r>
    </w:p>
    <w:p>
      <w:pPr>
        <w:spacing w:after="80" w:before="80"/>
      </w:pPr>
      <w:r>
        <w:rPr>
          <w:rFonts w:ascii="Arial" w:cs="Arial" w:eastAsia="Arial" w:hAnsi="Arial"/>
          <w:b/>
          <w:bCs/>
          <w:color w:val="1A1F2B"/>
          <w:sz w:val="22"/>
          <w:szCs w:val="22"/>
        </w:rPr>
        <w:t xml:space="preserve">TrackMan / Foresight:</w:t>
      </w:r>
      <w:r>
        <w:rPr>
          <w:rFonts w:ascii="Arial" w:cs="Arial" w:eastAsia="Arial" w:hAnsi="Arial"/>
          <w:color w:val="4B5563"/>
          <w:sz w:val="22"/>
          <w:szCs w:val="22"/>
        </w:rPr>
        <w:t xml:space="preserve"> These are measurement companies. We are an intelligence company. Their brand is about precision hardware. Ours is about what happens with the data during the lesson.</w:t>
      </w:r>
    </w:p>
    <w:p>
      <w:pPr>
        <w:spacing w:after="80" w:before="80"/>
      </w:pPr>
      <w:r>
        <w:rPr>
          <w:rFonts w:ascii="Arial" w:cs="Arial" w:eastAsia="Arial" w:hAnsi="Arial"/>
          <w:b/>
          <w:bCs/>
          <w:color w:val="1A1F2B"/>
          <w:sz w:val="22"/>
          <w:szCs w:val="22"/>
        </w:rPr>
        <w:t xml:space="preserve">TPI / fitness-tech brands:</w:t>
      </w:r>
      <w:r>
        <w:rPr>
          <w:rFonts w:ascii="Arial" w:cs="Arial" w:eastAsia="Arial" w:hAnsi="Arial"/>
          <w:color w:val="4B5563"/>
          <w:sz w:val="22"/>
          <w:szCs w:val="22"/>
        </w:rPr>
        <w:t xml:space="preserve"> These skew toward physical performance and movement screens. We are about coaching intelligence for the full lesson workflow.</w:t>
      </w:r>
    </w:p>
    <w:p>
      <w:pPr>
        <w:spacing w:after="80" w:before="80"/>
      </w:pPr>
      <w:r>
        <w:rPr>
          <w:rFonts w:ascii="Arial" w:cs="Arial" w:eastAsia="Arial" w:hAnsi="Arial"/>
          <w:b/>
          <w:bCs/>
          <w:color w:val="1A1F2B"/>
          <w:sz w:val="22"/>
          <w:szCs w:val="22"/>
        </w:rPr>
        <w:t xml:space="preserve">Generic SaaS / golf CRM:</w:t>
      </w:r>
      <w:r>
        <w:rPr>
          <w:rFonts w:ascii="Arial" w:cs="Arial" w:eastAsia="Arial" w:hAnsi="Arial"/>
          <w:color w:val="4B5563"/>
          <w:sz w:val="22"/>
          <w:szCs w:val="22"/>
        </w:rPr>
        <w:t xml:space="preserve"> CoachNow, Hudl, Foresight Performance, etc. are workflow tools. We are a thinking partner. The brand must never feel like "another app."</w:t>
      </w:r>
    </w:p>
    <w:p>
      <w:pPr>
        <w:spacing w:after="80" w:before="80"/>
      </w:pPr>
      <w:r>
        <w:rPr>
          <w:rFonts w:ascii="Arial" w:cs="Arial" w:eastAsia="Arial" w:hAnsi="Arial"/>
          <w:b/>
          <w:bCs/>
          <w:color w:val="1A1F2B"/>
          <w:sz w:val="22"/>
          <w:szCs w:val="22"/>
        </w:rPr>
        <w:t xml:space="preserve">Consumer golf brands:</w:t>
      </w:r>
      <w:r>
        <w:rPr>
          <w:rFonts w:ascii="Arial" w:cs="Arial" w:eastAsia="Arial" w:hAnsi="Arial"/>
          <w:color w:val="4B5563"/>
          <w:sz w:val="22"/>
          <w:szCs w:val="22"/>
        </w:rPr>
        <w:t xml:space="preserve"> Arccos, Whoop, Garmin. These are player-facing. We are practitioner-facing first. The brand must not feel like a consumer gadget.</w:t>
      </w:r>
    </w:p>
    <w:p>
      <w:pPr>
        <w:pStyle w:val="Heading1"/>
        <w:spacing w:after="120" w:before="360"/>
      </w:pPr>
      <w:r>
        <w:rPr>
          <w:rFonts w:ascii="Arial" w:cs="Arial" w:eastAsia="Arial" w:hAnsi="Arial"/>
          <w:b/>
          <w:bCs/>
          <w:color w:val="1A1F2B"/>
          <w:sz w:val="32"/>
          <w:szCs w:val="32"/>
        </w:rPr>
        <w:t xml:space="preserve">9. Name &amp; Naming Considerations</w:t>
      </w:r>
    </w:p>
    <w:p>
      <w:pPr>
        <w:spacing w:after="80" w:before="80"/>
      </w:pPr>
      <w:r>
        <w:rPr>
          <w:rFonts w:ascii="Arial" w:cs="Arial" w:eastAsia="Arial" w:hAnsi="Arial"/>
          <w:color w:val="4B5563"/>
          <w:sz w:val="22"/>
          <w:szCs w:val="22"/>
        </w:rPr>
        <w:t xml:space="preserve">The name is set. Here is what the agency should know:</w:t>
      </w:r>
    </w:p>
    <w:p>
      <w:pPr>
        <w:pStyle w:val="ListParagraph"/>
        <w:numPr>
          <w:ilvl w:val="0"/>
          <w:numId w:val="2"/>
        </w:numPr>
        <w:spacing w:after="40" w:before="40"/>
      </w:pPr>
      <w:r>
        <w:rPr>
          <w:rFonts w:ascii="Arial" w:cs="Arial" w:eastAsia="Arial" w:hAnsi="Arial"/>
          <w:color w:val="4B5563"/>
          <w:sz w:val="22"/>
          <w:szCs w:val="22"/>
        </w:rPr>
        <w:t xml:space="preserve">"Looper" has multiple resonances: golf caddie ("looper" is traditional slang), the iterative learning loop of AI, and the feedback loop between practitioner and player.</w:t>
      </w:r>
    </w:p>
    <w:p>
      <w:pPr>
        <w:pStyle w:val="ListParagraph"/>
        <w:numPr>
          <w:ilvl w:val="0"/>
          <w:numId w:val="2"/>
        </w:numPr>
        <w:spacing w:after="40" w:before="40"/>
      </w:pPr>
      <w:r>
        <w:rPr>
          <w:rFonts w:ascii="Arial" w:cs="Arial" w:eastAsia="Arial" w:hAnsi="Arial"/>
          <w:color w:val="4B5563"/>
          <w:sz w:val="22"/>
          <w:szCs w:val="22"/>
        </w:rPr>
        <w:t xml:space="preserve">The ".AI" is part of the name, not a domain suffix. It should be visually integrated into the logo.</w:t>
      </w:r>
    </w:p>
    <w:p>
      <w:pPr>
        <w:pStyle w:val="ListParagraph"/>
        <w:numPr>
          <w:ilvl w:val="0"/>
          <w:numId w:val="2"/>
        </w:numPr>
        <w:spacing w:after="40" w:before="40"/>
      </w:pPr>
      <w:r>
        <w:rPr>
          <w:rFonts w:ascii="Arial" w:cs="Arial" w:eastAsia="Arial" w:hAnsi="Arial"/>
          <w:color w:val="4B5563"/>
          <w:sz w:val="22"/>
          <w:szCs w:val="22"/>
        </w:rPr>
        <w:t xml:space="preserve">Pronunciation: "Looper dot A-I" not "Looper-aye."</w:t>
      </w:r>
    </w:p>
    <w:p>
      <w:pPr>
        <w:pStyle w:val="ListParagraph"/>
        <w:numPr>
          <w:ilvl w:val="0"/>
          <w:numId w:val="2"/>
        </w:numPr>
        <w:spacing w:after="40" w:before="40"/>
      </w:pPr>
      <w:r>
        <w:rPr>
          <w:rFonts w:ascii="Arial" w:cs="Arial" w:eastAsia="Arial" w:hAnsi="Arial"/>
          <w:color w:val="4B5563"/>
          <w:sz w:val="22"/>
          <w:szCs w:val="22"/>
        </w:rPr>
        <w:t xml:space="preserve">For sub-product naming: "Looper Coaching" for the coach experience. Avoid creative sub-brand names that add complexity.</w:t>
      </w:r>
    </w:p>
    <w:p>
      <w:r>
        <w:br w:type="page"/>
      </w:r>
    </w:p>
    <w:p>
      <w:pPr>
        <w:pStyle w:val="Heading1"/>
        <w:spacing w:after="120" w:before="360"/>
      </w:pPr>
      <w:r>
        <w:rPr>
          <w:rFonts w:ascii="Arial" w:cs="Arial" w:eastAsia="Arial" w:hAnsi="Arial"/>
          <w:b/>
          <w:bCs/>
          <w:color w:val="1A1F2B"/>
          <w:sz w:val="32"/>
          <w:szCs w:val="32"/>
        </w:rPr>
        <w:t xml:space="preserve">10. Deliverables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Deliverable</w:t>
            </w:r>
          </w:p>
        </w:tc>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Specifications</w:t>
            </w:r>
          </w:p>
        </w:tc>
        <w:tc>
          <w:tcPr>
            <w:tcW w:type="dxa" w:w="3120"/>
            <w:tcBorders>
              <w:top w:val="single" w:color="DFE2E7" w:sz="1"/>
              <w:left w:val="single" w:color="DFE2E7" w:sz="1"/>
              <w:bottom w:val="single" w:color="DFE2E7" w:sz="1"/>
              <w:right w:val="single" w:color="DFE2E7" w:sz="1"/>
            </w:tcBorders>
            <w:shd w:fill="F6F7F9" w:val="clear"/>
            <w:tcMar>
              <w:top w:type="dxa" w:w="60"/>
              <w:left w:type="dxa" w:w="100"/>
              <w:bottom w:type="dxa" w:w="60"/>
              <w:right w:type="dxa" w:w="100"/>
            </w:tcMar>
          </w:tcPr>
          <w:p>
            <w:r>
              <w:rPr>
                <w:rFonts w:ascii="Arial" w:cs="Arial" w:eastAsia="Arial" w:hAnsi="Arial"/>
                <w:b/>
                <w:bCs/>
                <w:color w:val="1A1F2B"/>
                <w:sz w:val="20"/>
                <w:szCs w:val="20"/>
              </w:rPr>
              <w:t xml:space="preserve">Priority</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Logo system</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Primary wordmark (Cabinet Grotesk 800, LOOPER in #1A1F2B, .AI in #0D7C66), standalone mark/icon, lockup variants, single-color versions, minimum size specs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P0</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Color palette refinement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Finalized palette with Hex, RGB, CMYK values, extended tint/shade ramps, formal light/dark mode spec sheet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P0</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Typography spec sheet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Cabinet Grotesk (brand voice), Space Mono (data voice), Instrument Serif (editorial). Full weight/size hierarchy, line-height specs, licensing docs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P0</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Tone of voice guide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Writing principles, word lists (do/don’t), example copy for 5+ contexts (portal UI, sidebar UI, marketing, reports, social)</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P0</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Brand guidelines document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Comprehensive guide covering all above plus spacing/usage rules, co-branding guidance, misuse examples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P1</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UI design language</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Component style for both portal (full-width, light) and sidebar (420–480px, dark): cards, data viz, timeline, confidence/uncertainty visualization</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P1</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Template set</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Pitch deck, report, email, social post templates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P2</w:t>
            </w:r>
          </w:p>
        </w:tc>
      </w:tr>
      <w:tr>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Motion/animation principles</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Guidelines for AI reasoning animations, phase transitions, confidence evolution, streaming text in the sidebar</w:t>
            </w:r>
          </w:p>
        </w:tc>
        <w:tc>
          <w:tcPr>
            <w:tcW w:type="dxa" w:w="3120"/>
            <w:tcBorders>
              <w:top w:val="single" w:color="DFE2E7" w:sz="1"/>
              <w:left w:val="single" w:color="DFE2E7" w:sz="1"/>
              <w:bottom w:val="single" w:color="DFE2E7" w:sz="1"/>
              <w:right w:val="single" w:color="DFE2E7"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P2</w:t>
            </w:r>
          </w:p>
        </w:tc>
      </w:tr>
    </w:tbl>
    <w:p>
      <w:pPr>
        <w:pStyle w:val="Heading1"/>
        <w:spacing w:after="120" w:before="360"/>
      </w:pPr>
      <w:r>
        <w:rPr>
          <w:rFonts w:ascii="Arial" w:cs="Arial" w:eastAsia="Arial" w:hAnsi="Arial"/>
          <w:b/>
          <w:bCs/>
          <w:color w:val="1A1F2B"/>
          <w:sz w:val="32"/>
          <w:szCs w:val="32"/>
        </w:rPr>
        <w:t xml:space="preserve">11. Success Criteria</w:t>
      </w:r>
    </w:p>
    <w:p>
      <w:pPr>
        <w:spacing w:after="80" w:before="80"/>
      </w:pPr>
      <w:r>
        <w:rPr>
          <w:rFonts w:ascii="Arial" w:cs="Arial" w:eastAsia="Arial" w:hAnsi="Arial"/>
          <w:color w:val="4B5563"/>
          <w:sz w:val="22"/>
          <w:szCs w:val="22"/>
        </w:rPr>
        <w:t xml:space="preserve">The brand identity is successful if:</w:t>
      </w:r>
    </w:p>
    <w:p>
      <w:pPr>
        <w:pStyle w:val="ListParagraph"/>
        <w:numPr>
          <w:ilvl w:val="0"/>
          <w:numId w:val="2"/>
        </w:numPr>
        <w:spacing w:after="40" w:before="40"/>
      </w:pPr>
      <w:r>
        <w:rPr>
          <w:rFonts w:ascii="Arial" w:cs="Arial" w:eastAsia="Arial" w:hAnsi="Arial"/>
          <w:color w:val="4B5563"/>
          <w:sz w:val="22"/>
          <w:szCs w:val="22"/>
        </w:rPr>
        <w:t xml:space="preserve">A coach sees the Lesson Sidebar beside TrackMan for the first time and says: "This was built by people who understand my job."</w:t>
      </w:r>
    </w:p>
    <w:p>
      <w:pPr>
        <w:pStyle w:val="ListParagraph"/>
        <w:numPr>
          <w:ilvl w:val="0"/>
          <w:numId w:val="2"/>
        </w:numPr>
        <w:spacing w:after="40" w:before="40"/>
      </w:pPr>
      <w:r>
        <w:rPr>
          <w:rFonts w:ascii="Arial" w:cs="Arial" w:eastAsia="Arial" w:hAnsi="Arial"/>
          <w:color w:val="4B5563"/>
          <w:sz w:val="22"/>
          <w:szCs w:val="22"/>
        </w:rPr>
        <w:t xml:space="preserve">The visual identity is immediately distinguishable from TrackMan (blue), Foresight (red/black), TPI (green/white), and Arccos (consumer tech).</w:t>
      </w:r>
    </w:p>
    <w:p>
      <w:pPr>
        <w:pStyle w:val="ListParagraph"/>
        <w:numPr>
          <w:ilvl w:val="0"/>
          <w:numId w:val="2"/>
        </w:numPr>
        <w:spacing w:after="40" w:before="40"/>
      </w:pPr>
      <w:r>
        <w:rPr>
          <w:rFonts w:ascii="Arial" w:cs="Arial" w:eastAsia="Arial" w:hAnsi="Arial"/>
          <w:color w:val="4B5563"/>
          <w:sz w:val="22"/>
          <w:szCs w:val="22"/>
        </w:rPr>
        <w:t xml:space="preserve">The brand works equally well on the coach’s monitor beside TrackMan, in a player’s pocket, and in a LinkedIn post.</w:t>
      </w:r>
    </w:p>
    <w:p>
      <w:pPr>
        <w:pStyle w:val="ListParagraph"/>
        <w:numPr>
          <w:ilvl w:val="0"/>
          <w:numId w:val="2"/>
        </w:numPr>
        <w:spacing w:after="40" w:before="40"/>
      </w:pPr>
      <w:r>
        <w:rPr>
          <w:rFonts w:ascii="Arial" w:cs="Arial" w:eastAsia="Arial" w:hAnsi="Arial"/>
          <w:color w:val="4B5563"/>
          <w:sz w:val="22"/>
          <w:szCs w:val="22"/>
        </w:rPr>
        <w:t xml:space="preserve">The tone of voice makes practitioners feel respected and curious, not threatened or talked down to.</w:t>
      </w:r>
    </w:p>
    <w:p>
      <w:pPr>
        <w:pStyle w:val="ListParagraph"/>
        <w:numPr>
          <w:ilvl w:val="0"/>
          <w:numId w:val="2"/>
        </w:numPr>
        <w:spacing w:after="40" w:before="40"/>
      </w:pPr>
      <w:r>
        <w:rPr>
          <w:rFonts w:ascii="Arial" w:cs="Arial" w:eastAsia="Arial" w:hAnsi="Arial"/>
          <w:color w:val="4B5563"/>
          <w:sz w:val="22"/>
          <w:szCs w:val="22"/>
        </w:rPr>
        <w:t xml:space="preserve">An investor looking at the pitch deck thinks: "This team has substance, not just design."</w:t>
      </w:r>
    </w:p>
    <w:p>
      <w:pPr>
        <w:pStyle w:val="ListParagraph"/>
        <w:numPr>
          <w:ilvl w:val="0"/>
          <w:numId w:val="2"/>
        </w:numPr>
        <w:spacing w:after="40" w:before="40"/>
      </w:pPr>
      <w:r>
        <w:rPr>
          <w:rFonts w:ascii="Arial" w:cs="Arial" w:eastAsia="Arial" w:hAnsi="Arial"/>
          <w:color w:val="4B5563"/>
          <w:sz w:val="22"/>
          <w:szCs w:val="22"/>
        </w:rPr>
        <w:t xml:space="preserve">Five years from now, the brand system still works as the product expands to player-facing features, additional sports, and international markets.</w:t>
      </w:r>
    </w:p>
    <w:p>
      <w:pPr>
        <w:spacing w:after="0" w:before="400"/>
      </w:pPr>
    </w:p>
    <w:p>
      <w:pPr>
        <w:jc w:val="center"/>
      </w:pPr>
      <w:r>
        <w:rPr>
          <w:rFonts w:ascii="Arial" w:cs="Arial" w:eastAsia="Arial" w:hAnsi="Arial"/>
          <w:i/>
          <w:iCs/>
          <w:color w:val="9CA3AF"/>
          <w:sz w:val="20"/>
          <w:szCs w:val="20"/>
        </w:rPr>
        <w:t xml:space="preserve">End of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F2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F2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F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2026-03-23T03:12:28.456Z</dcterms:created>
  <dcterms:modified xsi:type="dcterms:W3CDTF">2026-03-23T03:12:28.457Z</dcterms:modified>
</cp:coreProperties>
</file>

<file path=docProps/custom.xml><?xml version="1.0" encoding="utf-8"?>
<Properties xmlns="http://schemas.openxmlformats.org/officeDocument/2006/custom-properties" xmlns:vt="http://schemas.openxmlformats.org/officeDocument/2006/docPropsVTypes"/>
</file>