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rPr/>
      </w:pPr>
      <w:bookmarkStart w:colFirst="0" w:colLast="0" w:name="_cxbimfiq2yr7" w:id="0"/>
      <w:bookmarkEnd w:id="0"/>
      <w:r w:rsidDel="00000000" w:rsidR="00000000" w:rsidRPr="00000000">
        <w:rPr>
          <w:rtl w:val="0"/>
        </w:rPr>
        <w:t xml:space="preserve">Breaking down Cook Levin / asymptotic analysis</w:t>
      </w:r>
    </w:p>
    <w:p w:rsidR="00000000" w:rsidDel="00000000" w:rsidP="00000000" w:rsidRDefault="00000000" w:rsidRPr="00000000" w14:paraId="00000002">
      <w:pPr>
        <w:pStyle w:val="Heading3"/>
        <w:rPr/>
      </w:pPr>
      <w:bookmarkStart w:colFirst="0" w:colLast="0" w:name="_tzybx3ncr1ol" w:id="1"/>
      <w:bookmarkEnd w:id="1"/>
      <w:r w:rsidDel="00000000" w:rsidR="00000000" w:rsidRPr="00000000">
        <w:rPr>
          <w:rtl w:val="0"/>
        </w:rPr>
        <w:t xml:space="preserve">The basics</w:t>
      </w:r>
    </w:p>
    <w:p w:rsidR="00000000" w:rsidDel="00000000" w:rsidP="00000000" w:rsidRDefault="00000000" w:rsidRPr="00000000" w14:paraId="00000003">
      <w:pPr>
        <w:rPr/>
      </w:pPr>
      <w:r w:rsidDel="00000000" w:rsidR="00000000" w:rsidRPr="00000000">
        <w:rPr>
          <w:rtl w:val="0"/>
        </w:rPr>
        <w:t xml:space="preserve">Much of theoretical computer science is founded on the idea of computational complexity, and the</w:t>
      </w:r>
      <w:r w:rsidDel="00000000" w:rsidR="00000000" w:rsidRPr="00000000">
        <w:rPr>
          <w:b w:val="1"/>
          <w:bCs w:val="1"/>
          <w:rtl w:val="0"/>
        </w:rPr>
        <w:t xml:space="preserve"> P =/= NP</w:t>
      </w:r>
      <w:r w:rsidDel="00000000" w:rsidR="00000000" w:rsidRPr="00000000">
        <w:rPr>
          <w:rtl w:val="0"/>
        </w:rPr>
        <w:t xml:space="preserve"> (we don’t know if this is true, but until we can prove otherwise, this is how the world works for us). But what does this even mean? The goal of this project is to help build up a sense of intuition as to what that is about. The idea is simple: any </w:t>
      </w:r>
      <w:r w:rsidDel="00000000" w:rsidR="00000000" w:rsidRPr="00000000">
        <w:rPr>
          <w:b w:val="1"/>
          <w:bCs w:val="1"/>
          <w:rtl w:val="0"/>
        </w:rPr>
        <w:t xml:space="preserve">problem </w:t>
      </w:r>
      <w:r w:rsidDel="00000000" w:rsidR="00000000" w:rsidRPr="00000000">
        <w:rPr>
          <w:rtl w:val="0"/>
        </w:rPr>
        <w:t xml:space="preserve">X that can solve a problem in </w:t>
      </w:r>
      <w:r w:rsidDel="00000000" w:rsidR="00000000" w:rsidRPr="00000000">
        <w:rPr>
          <w:b w:val="1"/>
          <w:bCs w:val="1"/>
          <w:i w:val="1"/>
          <w:iCs w:val="1"/>
          <w:rtl w:val="0"/>
        </w:rPr>
        <w:t xml:space="preserve">non-deterministic polynomial time</w:t>
      </w:r>
      <w:r w:rsidDel="00000000" w:rsidR="00000000" w:rsidRPr="00000000">
        <w:rPr>
          <w:i w:val="1"/>
          <w:iCs w:val="1"/>
          <w:rtl w:val="0"/>
        </w:rPr>
        <w:t xml:space="preserve"> </w:t>
      </w:r>
      <w:r w:rsidDel="00000000" w:rsidR="00000000" w:rsidRPr="00000000">
        <w:rPr>
          <w:rtl w:val="0"/>
        </w:rPr>
        <w:t xml:space="preserve">(i.e., a problem in NP) can be represented as a boolean formula. And you can do this by a (non-trivial but still computable in </w:t>
      </w:r>
      <w:r w:rsidDel="00000000" w:rsidR="00000000" w:rsidRPr="00000000">
        <w:rPr>
          <w:b w:val="1"/>
          <w:bCs w:val="1"/>
          <w:rtl w:val="0"/>
        </w:rPr>
        <w:t xml:space="preserve">deterministic polynomial time</w:t>
      </w:r>
      <w:r w:rsidDel="00000000" w:rsidR="00000000" w:rsidRPr="00000000">
        <w:rPr>
          <w:i w:val="1"/>
          <w:iCs w:val="1"/>
          <w:rtl w:val="0"/>
        </w:rPr>
        <w:t xml:space="preserve">)</w:t>
      </w:r>
      <w:r w:rsidDel="00000000" w:rsidR="00000000" w:rsidRPr="00000000">
        <w:rPr>
          <w:rtl w:val="0"/>
        </w:rPr>
        <w:t xml:space="preserve"> by converting a</w:t>
      </w:r>
      <w:r w:rsidDel="00000000" w:rsidR="00000000" w:rsidRPr="00000000">
        <w:rPr>
          <w:b w:val="1"/>
          <w:bCs w:val="1"/>
          <w:rtl w:val="0"/>
        </w:rPr>
        <w:t xml:space="preserve"> non-deterministic Turing machine</w:t>
      </w:r>
      <w:r w:rsidDel="00000000" w:rsidR="00000000" w:rsidRPr="00000000">
        <w:rPr>
          <w:rtl w:val="0"/>
        </w:rPr>
        <w:t xml:space="preserve"> for solving X intol a boolean formula. This means that if you can solved the boolean formula, you can solve any non-deterministic polynomial-time problem (i.e., a problem in NP). There is a trick, however: only certain kinds of conversions will do the trick and that’s what this assignment is about.</w:t>
      </w:r>
    </w:p>
    <w:p w:rsidR="00000000" w:rsidDel="00000000" w:rsidP="00000000" w:rsidRDefault="00000000" w:rsidRPr="00000000" w14:paraId="00000004">
      <w:pPr>
        <w:rPr>
          <w:b w:val="1"/>
          <w:bCs w:val="1"/>
        </w:rPr>
      </w:pPr>
      <w:r w:rsidDel="00000000" w:rsidR="00000000" w:rsidRPr="00000000">
        <w:rPr>
          <w:rtl w:val="0"/>
        </w:rPr>
      </w:r>
    </w:p>
    <w:p w:rsidR="00000000" w:rsidDel="00000000" w:rsidP="00000000" w:rsidRDefault="00000000" w:rsidRPr="00000000" w14:paraId="00000005">
      <w:pPr>
        <w:rPr/>
      </w:pPr>
      <w:r w:rsidDel="00000000" w:rsidR="00000000" w:rsidRPr="00000000">
        <w:rPr>
          <w:b w:val="1"/>
          <w:bCs w:val="1"/>
          <w:rtl w:val="0"/>
        </w:rPr>
        <w:t xml:space="preserve">Before class on Wednesday 9/11</w:t>
      </w:r>
      <w:r w:rsidDel="00000000" w:rsidR="00000000" w:rsidRPr="00000000">
        <w:rPr>
          <w:rtl w:val="0"/>
        </w:rPr>
        <w:t xml:space="preserve">: read the </w:t>
      </w:r>
      <w:hyperlink r:id="rId6">
        <w:r w:rsidDel="00000000" w:rsidR="00000000" w:rsidRPr="00000000">
          <w:rPr>
            <w:color w:val="1155cc"/>
            <w:u w:val="single"/>
            <w:rtl w:val="0"/>
          </w:rPr>
          <w:t xml:space="preserve">wikipedia article on the Cook-Levin Theorem</w:t>
        </w:r>
      </w:hyperlink>
      <w:r w:rsidDel="00000000" w:rsidR="00000000" w:rsidRPr="00000000">
        <w:rPr>
          <w:rtl w:val="0"/>
        </w:rPr>
        <w:t xml:space="preserve">. Pay particular attention to the definitions of the variables (and how they are visualized) and the expressions (which aren’t really visualized in the article, though there are many straightforward ways to visualize a logical expression).</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Read the wikipedia article on big-O notation. Also take a look at the little-o definition and the Knuth big-𝝮 definition.</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b w:val="1"/>
          <w:bCs w:val="1"/>
          <w:rtl w:val="0"/>
        </w:rPr>
        <w:t xml:space="preserve">In class on Wednesday 9/11, Friday 9/13</w:t>
      </w:r>
      <w:r w:rsidDel="00000000" w:rsidR="00000000" w:rsidRPr="00000000">
        <w:rPr>
          <w:b w:val="1"/>
          <w:bCs w:val="1"/>
          <w:i w:val="1"/>
          <w:iCs w:val="1"/>
          <w:rtl w:val="0"/>
        </w:rPr>
        <w:t xml:space="preserve">, and all of next week</w:t>
      </w:r>
      <w:r w:rsidDel="00000000" w:rsidR="00000000" w:rsidRPr="00000000">
        <w:rPr>
          <w:rtl w:val="0"/>
        </w:rPr>
        <w:t xml:space="preserve">: These will be studio classes in which you work on the following problems.</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4"/>
        <w:rPr/>
      </w:pPr>
      <w:bookmarkStart w:colFirst="0" w:colLast="0" w:name="_rgvgn5aw0gox" w:id="2"/>
      <w:bookmarkEnd w:id="2"/>
      <w:r w:rsidDel="00000000" w:rsidR="00000000" w:rsidRPr="00000000">
        <w:rPr>
          <w:rtl w:val="0"/>
        </w:rPr>
        <w:t xml:space="preserve">Breaking Down Cook/Levin</w:t>
      </w:r>
    </w:p>
    <w:p w:rsidR="00000000" w:rsidDel="00000000" w:rsidP="00000000" w:rsidRDefault="00000000" w:rsidRPr="00000000" w14:paraId="0000000C">
      <w:pPr>
        <w:rPr/>
      </w:pPr>
      <w:r w:rsidDel="00000000" w:rsidR="00000000" w:rsidRPr="00000000">
        <w:rPr>
          <w:rtl w:val="0"/>
        </w:rPr>
        <w:t xml:space="preserve"> Translate the construction given in the wikipedia article into three visualizations:</w:t>
      </w:r>
    </w:p>
    <w:p w:rsidR="00000000" w:rsidDel="00000000" w:rsidP="00000000" w:rsidRDefault="00000000" w:rsidRPr="00000000" w14:paraId="0000000D">
      <w:pPr>
        <w:numPr>
          <w:ilvl w:val="0"/>
          <w:numId w:val="1"/>
        </w:numPr>
        <w:ind w:left="720" w:hanging="360"/>
        <w:rPr>
          <w:u w:val="none"/>
        </w:rPr>
      </w:pPr>
      <w:r w:rsidDel="00000000" w:rsidR="00000000" w:rsidRPr="00000000">
        <w:rPr>
          <w:rtl w:val="0"/>
        </w:rPr>
        <w:t xml:space="preserve">The logical expression of a machine </w:t>
      </w:r>
      <w:r w:rsidDel="00000000" w:rsidR="00000000" w:rsidRPr="00000000">
        <w:rPr>
          <w:rFonts w:ascii="Times New Roman" w:cs="Times New Roman" w:eastAsia="Times New Roman" w:hAnsi="Times New Roman"/>
          <w:i w:val="1"/>
          <w:iCs w:val="1"/>
          <w:rtl w:val="0"/>
        </w:rPr>
        <w:t xml:space="preserve">M</w:t>
      </w:r>
      <w:r w:rsidDel="00000000" w:rsidR="00000000" w:rsidRPr="00000000">
        <w:rPr>
          <w:rFonts w:ascii="Times New Roman" w:cs="Times New Roman" w:eastAsia="Times New Roman" w:hAnsi="Times New Roman"/>
          <w:i w:val="1"/>
          <w:iCs w:val="1"/>
          <w:vertAlign w:val="subscript"/>
          <w:rtl w:val="0"/>
        </w:rPr>
        <w:t xml:space="preserve">1</w:t>
      </w:r>
      <w:r w:rsidDel="00000000" w:rsidR="00000000" w:rsidRPr="00000000">
        <w:rPr>
          <w:rtl w:val="0"/>
        </w:rPr>
        <w:t xml:space="preserve"> and input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Fonts w:ascii="Times New Roman" w:cs="Times New Roman" w:eastAsia="Times New Roman" w:hAnsi="Times New Roman"/>
          <w:i w:val="1"/>
          <w:iCs w:val="1"/>
          <w:vertAlign w:val="subscript"/>
          <w:rtl w:val="0"/>
        </w:rPr>
        <w:t xml:space="preserve">1</w:t>
      </w:r>
      <w:r w:rsidDel="00000000" w:rsidR="00000000" w:rsidRPr="00000000">
        <w:rPr>
          <w:rtl w:val="0"/>
        </w:rPr>
        <w:t xml:space="preserve"> that </w:t>
      </w:r>
      <w:r w:rsidDel="00000000" w:rsidR="00000000" w:rsidRPr="00000000">
        <w:rPr>
          <w:rFonts w:ascii="Times New Roman" w:cs="Times New Roman" w:eastAsia="Times New Roman" w:hAnsi="Times New Roman"/>
          <w:i w:val="1"/>
          <w:iCs w:val="1"/>
          <w:rtl w:val="0"/>
        </w:rPr>
        <w:t xml:space="preserve">M</w:t>
      </w:r>
      <w:r w:rsidDel="00000000" w:rsidR="00000000" w:rsidRPr="00000000">
        <w:rPr>
          <w:rFonts w:ascii="Times New Roman" w:cs="Times New Roman" w:eastAsia="Times New Roman" w:hAnsi="Times New Roman"/>
          <w:i w:val="1"/>
          <w:iCs w:val="1"/>
          <w:vertAlign w:val="subscript"/>
          <w:rtl w:val="0"/>
        </w:rPr>
        <w:t xml:space="preserve">1</w:t>
      </w:r>
      <w:r w:rsidDel="00000000" w:rsidR="00000000" w:rsidRPr="00000000">
        <w:rPr>
          <w:rtl w:val="0"/>
        </w:rPr>
        <w:t xml:space="preserve"> accepts, showing a satisfying assignment of the variables</w:t>
      </w:r>
    </w:p>
    <w:p w:rsidR="00000000" w:rsidDel="00000000" w:rsidP="00000000" w:rsidRDefault="00000000" w:rsidRPr="00000000" w14:paraId="0000000E">
      <w:pPr>
        <w:numPr>
          <w:ilvl w:val="0"/>
          <w:numId w:val="1"/>
        </w:numPr>
        <w:ind w:left="720" w:hanging="360"/>
        <w:rPr>
          <w:u w:val="none"/>
        </w:rPr>
      </w:pPr>
      <w:r w:rsidDel="00000000" w:rsidR="00000000" w:rsidRPr="00000000">
        <w:rPr>
          <w:rtl w:val="0"/>
        </w:rPr>
        <w:t xml:space="preserve">The logical expression of </w:t>
      </w:r>
      <w:r w:rsidDel="00000000" w:rsidR="00000000" w:rsidRPr="00000000">
        <w:rPr>
          <w:rFonts w:ascii="Times New Roman" w:cs="Times New Roman" w:eastAsia="Times New Roman" w:hAnsi="Times New Roman"/>
          <w:i w:val="1"/>
          <w:iCs w:val="1"/>
          <w:rtl w:val="0"/>
        </w:rPr>
        <w:t xml:space="preserve">M</w:t>
      </w:r>
      <w:r w:rsidDel="00000000" w:rsidR="00000000" w:rsidRPr="00000000">
        <w:rPr>
          <w:rFonts w:ascii="Times New Roman" w:cs="Times New Roman" w:eastAsia="Times New Roman" w:hAnsi="Times New Roman"/>
          <w:i w:val="1"/>
          <w:iCs w:val="1"/>
          <w:vertAlign w:val="subscript"/>
          <w:rtl w:val="0"/>
        </w:rPr>
        <w:t xml:space="preserve">1</w:t>
      </w:r>
      <w:r w:rsidDel="00000000" w:rsidR="00000000" w:rsidRPr="00000000">
        <w:rPr>
          <w:rtl w:val="0"/>
        </w:rPr>
        <w:t xml:space="preserve"> on another input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Fonts w:ascii="Times New Roman" w:cs="Times New Roman" w:eastAsia="Times New Roman" w:hAnsi="Times New Roman"/>
          <w:i w:val="1"/>
          <w:iCs w:val="1"/>
          <w:vertAlign w:val="subscript"/>
          <w:rtl w:val="0"/>
        </w:rPr>
        <w:t xml:space="preserve">2</w:t>
      </w:r>
      <w:r w:rsidDel="00000000" w:rsidR="00000000" w:rsidRPr="00000000">
        <w:rPr>
          <w:rtl w:val="0"/>
        </w:rPr>
        <w:t xml:space="preserve"> showing that the same (or as close as possible) logical assignment does not work. </w:t>
      </w:r>
    </w:p>
    <w:p w:rsidR="00000000" w:rsidDel="00000000" w:rsidP="00000000" w:rsidRDefault="00000000" w:rsidRPr="00000000" w14:paraId="0000000F">
      <w:pPr>
        <w:numPr>
          <w:ilvl w:val="0"/>
          <w:numId w:val="1"/>
        </w:numPr>
        <w:ind w:left="720" w:hanging="360"/>
        <w:rPr>
          <w:u w:val="none"/>
        </w:rPr>
      </w:pPr>
      <w:r w:rsidDel="00000000" w:rsidR="00000000" w:rsidRPr="00000000">
        <w:rPr>
          <w:rtl w:val="0"/>
        </w:rPr>
        <w:t xml:space="preserve">The logical expression of a machine </w:t>
      </w:r>
      <w:r w:rsidDel="00000000" w:rsidR="00000000" w:rsidRPr="00000000">
        <w:rPr>
          <w:rFonts w:ascii="Times New Roman" w:cs="Times New Roman" w:eastAsia="Times New Roman" w:hAnsi="Times New Roman"/>
          <w:i w:val="1"/>
          <w:iCs w:val="1"/>
          <w:rtl w:val="0"/>
        </w:rPr>
        <w:t xml:space="preserve">M</w:t>
      </w:r>
      <w:r w:rsidDel="00000000" w:rsidR="00000000" w:rsidRPr="00000000">
        <w:rPr>
          <w:rFonts w:ascii="Times New Roman" w:cs="Times New Roman" w:eastAsia="Times New Roman" w:hAnsi="Times New Roman"/>
          <w:i w:val="1"/>
          <w:iCs w:val="1"/>
          <w:vertAlign w:val="subscript"/>
          <w:rtl w:val="0"/>
        </w:rPr>
        <w:t xml:space="preserve">2</w:t>
      </w:r>
      <w:r w:rsidDel="00000000" w:rsidR="00000000" w:rsidRPr="00000000">
        <w:rPr>
          <w:rtl w:val="0"/>
        </w:rPr>
        <w:t xml:space="preserve"> that does accept </w:t>
      </w:r>
      <w:r w:rsidDel="00000000" w:rsidR="00000000" w:rsidRPr="00000000">
        <w:rPr>
          <w:rFonts w:ascii="Times New Roman" w:cs="Times New Roman" w:eastAsia="Times New Roman" w:hAnsi="Times New Roman"/>
          <w:i w:val="1"/>
          <w:iCs w:val="1"/>
          <w:rtl w:val="0"/>
        </w:rPr>
        <w:t xml:space="preserve">X</w:t>
      </w:r>
      <w:r w:rsidDel="00000000" w:rsidR="00000000" w:rsidRPr="00000000">
        <w:rPr>
          <w:rFonts w:ascii="Times New Roman" w:cs="Times New Roman" w:eastAsia="Times New Roman" w:hAnsi="Times New Roman"/>
          <w:i w:val="1"/>
          <w:iCs w:val="1"/>
          <w:vertAlign w:val="subscript"/>
          <w:rtl w:val="0"/>
        </w:rPr>
        <w:t xml:space="preserve">2</w:t>
      </w:r>
      <w:r w:rsidDel="00000000" w:rsidR="00000000" w:rsidRPr="00000000">
        <w:rPr>
          <w:rtl w:val="0"/>
        </w:rPr>
        <w:t xml:space="preserve">, showing a satisfying assignment of the variables</w:t>
      </w:r>
    </w:p>
    <w:p w:rsidR="00000000" w:rsidDel="00000000" w:rsidP="00000000" w:rsidRDefault="00000000" w:rsidRPr="00000000" w14:paraId="00000010">
      <w:pPr>
        <w:ind w:left="0" w:firstLine="0"/>
        <w:rPr/>
      </w:pPr>
      <w:r w:rsidDel="00000000" w:rsidR="00000000" w:rsidRPr="00000000">
        <w:rPr>
          <w:rtl w:val="0"/>
        </w:rPr>
        <w:t xml:space="preserve">You may choose any models and inputs you like, but each model must have at least</w:t>
      </w:r>
      <w:r w:rsidDel="00000000" w:rsidR="00000000" w:rsidRPr="00000000">
        <w:rPr>
          <w:i w:val="1"/>
          <w:iCs w:val="1"/>
          <w:rtl w:val="0"/>
        </w:rPr>
        <w:t xml:space="preserve"> t</w:t>
      </w:r>
      <w:r w:rsidDel="00000000" w:rsidR="00000000" w:rsidRPr="00000000">
        <w:rPr>
          <w:rtl w:val="0"/>
        </w:rPr>
        <w:t xml:space="preserve">wo states and two characters long, if it leads to clearer pictures, but larger examples are nice, if feasible. Note that this are explicit examples, with explicit names for all states and transitions between states. Also note that conventions for TMs may differ from those used in your CS theory course.</w:t>
      </w:r>
    </w:p>
    <w:p w:rsidR="00000000" w:rsidDel="00000000" w:rsidP="00000000" w:rsidRDefault="00000000" w:rsidRPr="00000000" w14:paraId="00000011">
      <w:pPr>
        <w:ind w:left="0" w:firstLine="0"/>
        <w:rPr/>
      </w:pPr>
      <w:r w:rsidDel="00000000" w:rsidR="00000000" w:rsidRPr="00000000">
        <w:rPr>
          <w:rtl w:val="0"/>
        </w:rPr>
      </w:r>
    </w:p>
    <w:p w:rsidR="00000000" w:rsidDel="00000000" w:rsidP="00000000" w:rsidRDefault="00000000" w:rsidRPr="00000000" w14:paraId="00000012">
      <w:pPr>
        <w:ind w:left="0" w:firstLine="0"/>
        <w:rPr/>
      </w:pPr>
      <w:r w:rsidDel="00000000" w:rsidR="00000000" w:rsidRPr="00000000">
        <w:rPr>
          <w:rtl w:val="0"/>
        </w:rPr>
        <w:t xml:space="preserve">The main challenge here is that the logical expression is very complicated, even for such  relatively small models and the smallest ones we allow here. Your challenge is to represent this expression in a way that is clear.</w:t>
      </w:r>
    </w:p>
    <w:p w:rsidR="00000000" w:rsidDel="00000000" w:rsidP="00000000" w:rsidRDefault="00000000" w:rsidRPr="00000000" w14:paraId="00000013">
      <w:pPr>
        <w:ind w:left="0" w:firstLine="0"/>
        <w:rPr/>
      </w:pPr>
      <w:r w:rsidDel="00000000" w:rsidR="00000000" w:rsidRPr="00000000">
        <w:rPr>
          <w:rtl w:val="0"/>
        </w:rPr>
      </w:r>
    </w:p>
    <w:p w:rsidR="00000000" w:rsidDel="00000000" w:rsidP="00000000" w:rsidRDefault="00000000" w:rsidRPr="00000000" w14:paraId="00000014">
      <w:pPr>
        <w:ind w:left="0" w:firstLine="0"/>
        <w:rPr/>
      </w:pPr>
      <w:r w:rsidDel="00000000" w:rsidR="00000000" w:rsidRPr="00000000">
        <w:rPr>
          <w:rtl w:val="0"/>
        </w:rPr>
        <w:t xml:space="preserve">Each visualization may have multiple images. Each visualization must depict the example machine and input, the variables of the reduction, and the logical expression.</w:t>
      </w:r>
    </w:p>
    <w:p w:rsidR="00000000" w:rsidDel="00000000" w:rsidP="00000000" w:rsidRDefault="00000000" w:rsidRPr="00000000" w14:paraId="00000015">
      <w:pPr>
        <w:pStyle w:val="Heading4"/>
        <w:rPr/>
      </w:pPr>
      <w:bookmarkStart w:colFirst="0" w:colLast="0" w:name="_o2ybuxs4yd2h" w:id="3"/>
      <w:bookmarkEnd w:id="3"/>
      <w:r w:rsidDel="00000000" w:rsidR="00000000" w:rsidRPr="00000000">
        <w:rPr>
          <w:rtl w:val="0"/>
        </w:rPr>
        <w:t xml:space="preserve">Asymptotic analysis</w:t>
      </w:r>
    </w:p>
    <w:p w:rsidR="00000000" w:rsidDel="00000000" w:rsidP="00000000" w:rsidRDefault="00000000" w:rsidRPr="00000000" w14:paraId="00000016">
      <w:pPr>
        <w:ind w:left="0" w:firstLine="0"/>
        <w:rPr/>
      </w:pPr>
      <w:r w:rsidDel="00000000" w:rsidR="00000000" w:rsidRPr="00000000">
        <w:rPr>
          <w:rtl w:val="0"/>
        </w:rPr>
        <w:t xml:space="preserve">Next, for each of the following functions, come up with (and graph alongside the given functions) functions that are </w:t>
      </w:r>
      <w:hyperlink r:id="rId7">
        <w:r w:rsidDel="00000000" w:rsidR="00000000" w:rsidRPr="00000000">
          <w:rPr>
            <w:color w:val="1155cc"/>
            <w:u w:val="single"/>
            <w:rtl w:val="0"/>
          </w:rPr>
          <w:t xml:space="preserve">big-O</w:t>
        </w:r>
      </w:hyperlink>
      <w:r w:rsidDel="00000000" w:rsidR="00000000" w:rsidRPr="00000000">
        <w:rPr>
          <w:rtl w:val="0"/>
        </w:rPr>
        <w:t xml:space="preserve">, </w:t>
      </w:r>
      <w:hyperlink r:id="rId8">
        <w:r w:rsidDel="00000000" w:rsidR="00000000" w:rsidRPr="00000000">
          <w:rPr>
            <w:color w:val="1155cc"/>
            <w:u w:val="single"/>
            <w:rtl w:val="0"/>
          </w:rPr>
          <w:t xml:space="preserve">little-o</w:t>
        </w:r>
      </w:hyperlink>
      <w:r w:rsidDel="00000000" w:rsidR="00000000" w:rsidRPr="00000000">
        <w:rPr>
          <w:rtl w:val="0"/>
        </w:rPr>
        <w:t xml:space="preserve">, and </w:t>
      </w:r>
      <w:hyperlink r:id="rId9">
        <w:r w:rsidDel="00000000" w:rsidR="00000000" w:rsidRPr="00000000">
          <w:rPr>
            <w:color w:val="1155cc"/>
            <w:u w:val="single"/>
            <w:rtl w:val="0"/>
          </w:rPr>
          <w:t xml:space="preserve">big-𝝮</w:t>
        </w:r>
      </w:hyperlink>
      <w:r w:rsidDel="00000000" w:rsidR="00000000" w:rsidRPr="00000000">
        <w:rPr>
          <w:rtl w:val="0"/>
        </w:rPr>
        <w:t xml:space="preserve"> of the given functions (here and elsewhere, unless otherwise specified, we will use wikipedia for the authoritative definitions), but “improbably” so, in the sense that the don’t necessary exemplify what the relationships mean, e.g., give a big-O function that is actually much less than the given function.</w:t>
      </w:r>
    </w:p>
    <w:p w:rsidR="00000000" w:rsidDel="00000000" w:rsidP="00000000" w:rsidRDefault="00000000" w:rsidRPr="00000000" w14:paraId="00000017">
      <w:pPr>
        <w:ind w:left="0" w:firstLine="0"/>
        <w:rPr/>
      </w:pPr>
      <w:r w:rsidDel="00000000" w:rsidR="00000000" w:rsidRPr="00000000">
        <w:rPr>
          <w:rtl w:val="0"/>
        </w:rPr>
      </w:r>
    </w:p>
    <w:p w:rsidR="00000000" w:rsidDel="00000000" w:rsidP="00000000" w:rsidRDefault="00000000" w:rsidRPr="00000000" w14:paraId="00000018">
      <w:pPr>
        <w:numPr>
          <w:ilvl w:val="0"/>
          <w:numId w:val="2"/>
        </w:numPr>
        <w:ind w:left="720" w:hanging="360"/>
        <w:rPr>
          <w:u w:val="none"/>
        </w:rPr>
      </w:pPr>
      <w:r w:rsidDel="00000000" w:rsidR="00000000" w:rsidRPr="00000000">
        <w:rPr>
          <w:rtl w:val="0"/>
        </w:rPr>
        <w:t xml:space="preserve">X - 2 ln</w:t>
      </w:r>
      <w:r w:rsidDel="00000000" w:rsidR="00000000" w:rsidRPr="00000000">
        <w:rPr>
          <w:vertAlign w:val="superscript"/>
          <w:rtl w:val="0"/>
        </w:rPr>
        <w:t xml:space="preserve">2</w:t>
      </w:r>
      <w:r w:rsidDel="00000000" w:rsidR="00000000" w:rsidRPr="00000000">
        <w:rPr>
          <w:rtl w:val="0"/>
        </w:rPr>
        <w:t xml:space="preserve">(X)</w:t>
      </w:r>
    </w:p>
    <w:p w:rsidR="00000000" w:rsidDel="00000000" w:rsidP="00000000" w:rsidRDefault="00000000" w:rsidRPr="00000000" w14:paraId="00000019">
      <w:pPr>
        <w:numPr>
          <w:ilvl w:val="0"/>
          <w:numId w:val="2"/>
        </w:numPr>
        <w:ind w:left="720" w:hanging="360"/>
        <w:rPr>
          <w:u w:val="none"/>
        </w:rPr>
      </w:pPr>
      <w:r w:rsidDel="00000000" w:rsidR="00000000" w:rsidRPr="00000000">
        <w:rPr>
          <w:rtl w:val="0"/>
        </w:rPr>
        <w:t xml:space="preserve">X sin(X)</w:t>
      </w:r>
    </w:p>
    <w:p w:rsidR="00000000" w:rsidDel="00000000" w:rsidP="00000000" w:rsidRDefault="00000000" w:rsidRPr="00000000" w14:paraId="0000001A">
      <w:pPr>
        <w:numPr>
          <w:ilvl w:val="0"/>
          <w:numId w:val="2"/>
        </w:numPr>
        <w:ind w:left="720" w:hanging="360"/>
        <w:rPr>
          <w:u w:val="none"/>
        </w:rPr>
      </w:pPr>
      <w:r w:rsidDel="00000000" w:rsidR="00000000" w:rsidRPr="00000000">
        <w:rPr>
          <w:rtl w:val="0"/>
        </w:rPr>
        <w:t xml:space="preserve">1/X</w:t>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b w:val="1"/>
          <w:bCs w:val="1"/>
          <w:rtl w:val="0"/>
        </w:rPr>
        <w:t xml:space="preserve">In class on Monday 9/22: </w:t>
      </w:r>
      <w:r w:rsidDel="00000000" w:rsidR="00000000" w:rsidRPr="00000000">
        <w:rPr>
          <w:rtl w:val="0"/>
        </w:rPr>
        <w:t xml:space="preserve">present work</w:t>
      </w:r>
    </w:p>
    <w:p w:rsidR="00000000" w:rsidDel="00000000" w:rsidP="00000000" w:rsidRDefault="00000000" w:rsidRPr="00000000" w14:paraId="0000001D">
      <w:pPr>
        <w:rPr/>
      </w:pPr>
      <w:r w:rsidDel="00000000" w:rsidR="00000000" w:rsidRPr="00000000">
        <w:rPr>
          <w:b w:val="1"/>
          <w:bCs w:val="1"/>
          <w:rtl w:val="0"/>
        </w:rPr>
        <w:t xml:space="preserve">By class on Monday 9/29</w:t>
      </w:r>
      <w:r w:rsidDel="00000000" w:rsidR="00000000" w:rsidRPr="00000000">
        <w:rPr>
          <w:rtl w:val="0"/>
        </w:rPr>
        <w:t xml:space="preserve">: submit work</w:t>
      </w: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en.wikipedia.org/wiki/Big_O_notation" TargetMode="External"/><Relationship Id="rId5" Type="http://schemas.openxmlformats.org/officeDocument/2006/relationships/styles" Target="styles.xml"/><Relationship Id="rId6" Type="http://schemas.openxmlformats.org/officeDocument/2006/relationships/hyperlink" Target="https://en.wikipedia.org/wiki/Cook%E2%80%93Levin_theorem#:~:text=In%20computational%20complexity%20theory%2C%20the,to%20the%20Boolean%20satisfiability%20problem." TargetMode="External"/><Relationship Id="rId7" Type="http://schemas.openxmlformats.org/officeDocument/2006/relationships/hyperlink" Target="https://en.wikipedia.org/wiki/Big_O_notation" TargetMode="External"/><Relationship Id="rId8" Type="http://schemas.openxmlformats.org/officeDocument/2006/relationships/hyperlink" Target="https://en.wikipedia.org/?title=Little-o_notation&amp;redirect=n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