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 2 Lecture Plan</w:t>
      </w:r>
    </w:p>
    <w:p>
      <w:pPr>
        <w:pStyle w:val="Subtitle"/>
      </w:pPr>
      <w:r>
        <w:t xml:space="preserve">Arc A · Telling the spatial story</w:t>
      </w:r>
    </w:p>
    <w:p>
      <w:pPr>
        <w:pStyle w:val="Author"/>
      </w:pPr>
      <w:r>
        <w:t xml:space="preserve">Dr. Tripp Lowe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week-2---telling-the-spatial-story"/>
    <w:p>
      <w:pPr>
        <w:pStyle w:val="Heading1"/>
      </w:pPr>
      <w:r>
        <w:t xml:space="preserve">1. Week 2 - Telling the Spatial Story</w:t>
      </w:r>
    </w:p>
    <w:p>
      <w:pPr>
        <w:pStyle w:val="FirstParagraph"/>
      </w:pPr>
      <w:r>
        <w:rPr>
          <w:b/>
          <w:bCs/>
        </w:rPr>
        <w:t xml:space="preserve">Arc A: Build a base you can trust.</w:t>
      </w:r>
      <w:r>
        <w:t xml:space="preserve"> </w:t>
      </w:r>
      <w:r>
        <w:t xml:space="preserve">Two 50-minute lectures (Mon &amp; Wed). Map communication is taught early, deliberately, so students can present every subsequent analysis credibly. The theme: a map is an argument, and design determines whether the argument is believed.</w:t>
      </w:r>
    </w:p>
    <w:p>
      <w:pPr>
        <w:pStyle w:val="BodyText"/>
      </w:pPr>
      <w:r>
        <w:rPr>
          <w:i/>
          <w:iCs/>
        </w:rPr>
        <w:t xml:space="preserve">Notation: ArcGIS Pro tools appear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ALL-CAPS</w:t>
      </w:r>
      <w:r>
        <w:rPr>
          <w:i/>
          <w:iCs/>
        </w:rPr>
        <w:t xml:space="preserve">; methods and concepts as</w:t>
      </w:r>
      <w:r>
        <w:rPr>
          <w:i/>
          <w:iCs/>
        </w:rPr>
        <w:t xml:space="preserve"> </w:t>
      </w:r>
      <w:r>
        <w:t xml:space="preserve">Proper-Case italics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X61454dbd2707c6d53c79abebb149807d3a3ad61"/>
    <w:p>
      <w:pPr>
        <w:pStyle w:val="Heading2"/>
      </w:pPr>
      <w:r>
        <w:t xml:space="preserve">1.1 Monday:</w:t>
      </w:r>
      <w:r>
        <w:t xml:space="preserve"> </w:t>
      </w:r>
      <w:r>
        <w:rPr>
          <w:i/>
          <w:iCs/>
        </w:rPr>
        <w:t xml:space="preserve">Symbology</w:t>
      </w:r>
      <w:r>
        <w:t xml:space="preserve">: Making Attributes Visible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match a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method to a data type, (2) explain how a symbology choice changes the story a map tells, and (3) avoid the common misreadings caused by poor symbol choices.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(0–10) Why symbology is analysis, not decoration.</w:t>
      </w:r>
      <w:r>
        <w:t xml:space="preserve"> </w:t>
      </w:r>
      <w:r>
        <w:t xml:space="preserve">Same data, two symbol schemes, two different conclusions. Set up the responsibility that comes with representation.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(10–30) The main methods.</w:t>
      </w:r>
      <w:r>
        <w:t xml:space="preserve"> </w:t>
      </w:r>
      <w:r>
        <w:rPr>
          <w:i/>
          <w:iCs/>
        </w:rPr>
        <w:t xml:space="preserve">Single Symbol</w:t>
      </w:r>
      <w:r>
        <w:t xml:space="preserve"> </w:t>
      </w:r>
      <w:r>
        <w:t xml:space="preserve">(location only);</w:t>
      </w:r>
      <w:r>
        <w:t xml:space="preserve"> </w:t>
      </w:r>
      <w:r>
        <w:rPr>
          <w:i/>
          <w:iCs/>
        </w:rPr>
        <w:t xml:space="preserve">Categorized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 </w:t>
      </w:r>
      <w:r>
        <w:t xml:space="preserve">(qualitative classes, species, ownership, cover type);</w:t>
      </w:r>
      <w:r>
        <w:t xml:space="preserve"> </w:t>
      </w:r>
      <w:r>
        <w:rPr>
          <w:i/>
          <w:iCs/>
        </w:rPr>
        <w:t xml:space="preserve">Graduated</w:t>
      </w:r>
      <w:r>
        <w:t xml:space="preserve"> </w:t>
      </w:r>
      <w:r>
        <w:t xml:space="preserve">(quantitative, age, basal area, density) and the effect of classification method and class breaks. Tie each to a data type from Week 1’s attribute tables.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(30–45) Choosing well.</w:t>
      </w:r>
      <w:r>
        <w:t xml:space="preserve"> </w:t>
      </w:r>
      <w:r>
        <w:t xml:space="preserve">Color for categories vs. sequences; number of classes; when a choropleth misleads (raw counts vs. normalized rates); accessibility of color choices.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(45–50) Setup for Wednesday.</w:t>
      </w:r>
      <w:r>
        <w:t xml:space="preserve"> </w:t>
      </w:r>
      <w:r>
        <w:t xml:space="preserve">A well-symbolized layer still isn’t a finished map, preview</w:t>
      </w:r>
      <w:r>
        <w:t xml:space="preserve"> </w:t>
      </w:r>
      <w:r>
        <w:rPr>
          <w:i/>
          <w:iCs/>
        </w:rPr>
        <w:t xml:space="preserve">Map Layout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Landowners and stakeholders act on the map, not the attribute table.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is where the data becomes a decision.</w:t>
      </w:r>
    </w:p>
    <w:p>
      <w:pPr>
        <w:pStyle w:val="BodyText"/>
      </w:pPr>
      <w:r>
        <w:rPr>
          <w:i/>
          <w:iCs/>
        </w:rPr>
        <w:t xml:space="preserve">Tools introduced:</w:t>
      </w:r>
      <w:r>
        <w:t xml:space="preserve"> </w:t>
      </w:r>
      <w:r>
        <w:t xml:space="preserve">none, the</w:t>
      </w:r>
      <w:r>
        <w:t xml:space="preserve"> </w:t>
      </w:r>
      <w:r>
        <w:rPr>
          <w:rStyle w:val="VerbatimChar"/>
        </w:rPr>
        <w:t xml:space="preserve">SYMBOLOGY</w:t>
      </w:r>
      <w:r>
        <w:t xml:space="preserve"> </w:t>
      </w:r>
      <w:r>
        <w:t xml:space="preserve">pane is a ribbon/pane workflow, not a geoprocessing tool.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(</w:t>
      </w:r>
      <w:r>
        <w:rPr>
          <w:i/>
          <w:iCs/>
        </w:rPr>
        <w:t xml:space="preserve">Categorized</w:t>
      </w:r>
      <w:r>
        <w:t xml:space="preserve">,</w:t>
      </w:r>
      <w:r>
        <w:t xml:space="preserve"> </w:t>
      </w:r>
      <w:r>
        <w:rPr>
          <w:i/>
          <w:iCs/>
        </w:rPr>
        <w:t xml:space="preserve">Graduated</w:t>
      </w:r>
      <w:r>
        <w:t xml:space="preserve">,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),</w:t>
      </w:r>
      <w:r>
        <w:t xml:space="preserve"> </w:t>
      </w:r>
      <w:r>
        <w:rPr>
          <w:i/>
          <w:iCs/>
        </w:rPr>
        <w:t xml:space="preserve">Cartographic Communication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9051f031b17649f06a737ef83ffd12be3926355"/>
    <w:p>
      <w:pPr>
        <w:pStyle w:val="Heading2"/>
      </w:pPr>
      <w:r>
        <w:t xml:space="preserve">1.2 Wednesday:</w:t>
      </w:r>
      <w:r>
        <w:t xml:space="preserve"> </w:t>
      </w:r>
      <w:r>
        <w:rPr>
          <w:i/>
          <w:iCs/>
        </w:rPr>
        <w:t xml:space="preserve">Map Layout</w:t>
      </w:r>
      <w:r>
        <w:t xml:space="preserve">: The Anatomy of a Credible Map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list the essential map elements and justify each, (2) apply visual hierarchy so the main message reads first, and (3) export a publication-ready map with complete source information.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(0–15) The essential elements.</w:t>
      </w:r>
      <w:r>
        <w:t xml:space="preserve"> </w:t>
      </w:r>
      <w:r>
        <w:t xml:space="preserve">Title, legend, scale bar, north arrow, and, emphasized, data source and coordinate system metadata. Why each exists and what a missing element costs the reader’s trust.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(15–30) Composition and hierarchy.</w:t>
      </w:r>
      <w:r>
        <w:t xml:space="preserve"> </w:t>
      </w:r>
      <w:r>
        <w:t xml:space="preserve">Guiding the eye: figure-ground, balance, what to enlarge and what to subordinate; the difference between a map made for a report page and one made for a wall.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(30–42) Credibility and honesty.</w:t>
      </w:r>
      <w:r>
        <w:t xml:space="preserve"> </w:t>
      </w:r>
      <w:r>
        <w:t xml:space="preserve">Scale and audience; how framing, extent, and class breaks can distort; the professional obligation to represent uncertainty and cite sources.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(42–50) Export and delivery.</w:t>
      </w:r>
      <w:r>
        <w:t xml:space="preserve"> </w:t>
      </w:r>
      <w:r>
        <w:t xml:space="preserve">Formats and resolution for print vs. screen via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; naming and file organization consistent with the course conventions.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Good design makes the spatial story clear; poor design obscures it and undermines the analyst’s credibility. This is the deliverable skill every arc ends on.</w:t>
      </w:r>
    </w:p>
    <w:p>
      <w:pPr>
        <w:pStyle w:val="BodyText"/>
      </w:pPr>
      <w:r>
        <w:rPr>
          <w:b/>
          <w:bCs/>
        </w:rPr>
        <w:t xml:space="preserve">Connections.</w:t>
      </w:r>
      <w:r>
        <w:t xml:space="preserve"> </w:t>
      </w:r>
      <w:r>
        <w:t xml:space="preserve">Every arc culminates in a map or summary; the elements introduced here are expected on all lab deliverables and exams.</w:t>
      </w:r>
    </w:p>
    <w:p>
      <w:pPr>
        <w:pStyle w:val="BodyText"/>
      </w:pPr>
      <w:r>
        <w:rPr>
          <w:i/>
          <w:iCs/>
        </w:rPr>
        <w:t xml:space="preserve">Tools introduced: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view itself is a ribbon/pane workflow).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Map Layout</w:t>
      </w:r>
      <w:r>
        <w:t xml:space="preserve">,</w:t>
      </w:r>
      <w:r>
        <w:t xml:space="preserve"> </w:t>
      </w:r>
      <w:r>
        <w:rPr>
          <w:i/>
          <w:iCs/>
        </w:rPr>
        <w:t xml:space="preserve">Cartographic Communication</w:t>
      </w:r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 2 Lecture Plan</dc:title>
  <dc:creator>Dr. Tripp Lowe</dc:creator>
  <cp:keywords/>
  <dcterms:created xsi:type="dcterms:W3CDTF">2026-08-18T15:04:07Z</dcterms:created>
  <dcterms:modified xsi:type="dcterms:W3CDTF">2026-08-18T15:04:07Z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Invalid Date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Arc A · Telling the spatial story</vt:lpwstr>
  </property>
  <property fmtid="{D5CDD505-2E9C-101B-9397-08002B2CF9AE}" pid="11" name="toc-title">
    <vt:lpwstr>Table of contents</vt:lpwstr>
  </property>
</Properties>
</file>