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Symbolic Transformers</w:t>
      </w:r>
    </w:p>
    <w:p>
      <w:pPr>
        <w:spacing w:after="480"/>
        <w:jc w:val="center"/>
      </w:pPr>
      <w:r>
        <w:rPr>
          <w:color w:val="555555"/>
          <w:sz w:val="28"/>
          <w:szCs w:val="28"/>
        </w:rPr>
        <w:t xml:space="preserve">Engineering Specification: Reasoning Extension</w:t>
      </w:r>
    </w:p>
    <w:p>
      <w:pPr>
        <w:spacing w:after="480"/>
        <w:jc w:val="center"/>
      </w:pPr>
      <w:r>
        <w:rPr>
          <w:color w:val="888888"/>
          <w:sz w:val="20"/>
          <w:szCs w:val="20"/>
        </w:rPr>
        <w:t xml:space="preserve">Version 1.0 — December 2025</w:t>
      </w:r>
    </w:p>
    <w:p>
      <w:pPr>
        <w:pStyle w:val="Heading1"/>
      </w:pPr>
      <w:r>
        <w:t xml:space="preserve">1. Executive Summary</w:t>
      </w:r>
    </w:p>
    <w:p>
      <w:pPr>
        <w:spacing w:after="200"/>
      </w:pPr>
      <w:r>
        <w:t xml:space="preserve">This specification defines the architecture and implementation plan for extending the Symbolic Transformers project from next-token syntax prediction to actual logical reasoning. The extension leverages the existing 566K parameter model and compositional tokenization infrastructure while introducing new capabilities for premise-to-conclusion inference.</w:t>
      </w:r>
    </w:p>
    <w:p>
      <w:pPr>
        <w:spacing w:after="200"/>
      </w:pPr>
      <w:r>
        <w:rPr>
          <w:b/>
          <w:bCs/>
        </w:rPr>
        <w:t xml:space="preserve">Core Thesis: </w:t>
      </w:r>
      <w:r>
        <w:t xml:space="preserve">The same architecture that learns FOL syntax can learn logical inference rules, given appropriate training data and task framing. The key insight from the commenter's 10K parameter transitivity solver demonstrates that reasoning is achievable at tiny scales when task decomposition is right.</w:t>
      </w:r>
    </w:p>
    <w:p>
      <w:pPr>
        <w:pStyle w:val="Heading1"/>
      </w:pPr>
      <w:r>
        <w:t xml:space="preserve">2. Current System State</w:t>
      </w:r>
    </w:p>
    <w:p>
      <w:pPr>
        <w:pStyle w:val="Heading2"/>
      </w:pPr>
      <w:r>
        <w:t xml:space="preserve">2.1 Architecture Summary</w:t>
      </w:r>
    </w:p>
    <w:p>
      <w:pPr>
        <w:spacing w:after="100"/>
      </w:pPr>
      <w:r>
        <w:t xml:space="preserve">The existing Symbolic Transformer implements next-symbol prediction on First-Order Logic formulas:</w:t>
      </w:r>
    </w:p>
    <w:p>
      <w:pPr>
        <w:pStyle w:val="ListParagraph"/>
        <w:numPr>
          <w:ilvl w:val="0"/>
          <w:numId w:val="2"/>
        </w:numPr>
      </w:pPr>
      <w:r>
        <w:rPr>
          <w:b/>
          <w:bCs/>
        </w:rPr>
        <w:t xml:space="preserve">Model: </w:t>
      </w:r>
      <w:r>
        <w:t xml:space="preserve">566K parameters (tiny configuration)</w:t>
      </w:r>
    </w:p>
    <w:p>
      <w:pPr>
        <w:pStyle w:val="ListParagraph"/>
        <w:numPr>
          <w:ilvl w:val="0"/>
          <w:numId w:val="2"/>
        </w:numPr>
      </w:pPr>
      <w:r>
        <w:rPr>
          <w:b/>
          <w:bCs/>
        </w:rPr>
        <w:t xml:space="preserve">Vocabulary: </w:t>
      </w:r>
      <w:r>
        <w:t xml:space="preserve">662 symbols (625 base-625 numerals + 37 FOL operators)</w:t>
      </w:r>
    </w:p>
    <w:p>
      <w:pPr>
        <w:pStyle w:val="ListParagraph"/>
        <w:numPr>
          <w:ilvl w:val="0"/>
          <w:numId w:val="2"/>
        </w:numPr>
      </w:pPr>
      <w:r>
        <w:rPr>
          <w:b/>
          <w:bCs/>
        </w:rPr>
        <w:t xml:space="preserve">Embedding: </w:t>
      </w:r>
      <w:r>
        <w:t xml:space="preserve">128 dimensions with 4 attention heads, 2 layers</w:t>
      </w:r>
    </w:p>
    <w:p>
      <w:pPr>
        <w:pStyle w:val="ListParagraph"/>
        <w:numPr>
          <w:ilvl w:val="0"/>
          <w:numId w:val="2"/>
        </w:numPr>
      </w:pPr>
      <w:r>
        <w:rPr>
          <w:b/>
          <w:bCs/>
        </w:rPr>
        <w:t xml:space="preserve">Task: </w:t>
      </w:r>
      <w:r>
        <w:t xml:space="preserve">Given prefix tokens, predict next token</w:t>
      </w:r>
    </w:p>
    <w:p>
      <w:pPr>
        <w:pStyle w:val="ListParagraph"/>
        <w:numPr>
          <w:ilvl w:val="0"/>
          <w:numId w:val="2"/>
        </w:numPr>
        <w:spacing w:after="200"/>
      </w:pPr>
      <w:r>
        <w:rPr>
          <w:b/>
          <w:bCs/>
        </w:rPr>
        <w:t xml:space="preserve">Performance: </w:t>
      </w:r>
      <w:r>
        <w:t xml:space="preserve">~44% top-1 accuracy, 99.6% on deterministic structural tokens</w:t>
      </w:r>
    </w:p>
    <w:p>
      <w:pPr>
        <w:pStyle w:val="Heading2"/>
      </w:pPr>
      <w:r>
        <w:t xml:space="preserve">2.2 Key Innovation: Compositional Tokenization</w:t>
      </w:r>
    </w:p>
    <w:p>
      <w:pPr>
        <w:spacing w:after="200"/>
      </w:pPr>
      <w:r>
        <w:t xml:space="preserve">The compositional tokenization strategy separates type from value, enabling unlimited indexed entities with finite vocabulary. This same principle will prove essential for reasoning tasks where variable binding and substitution are fundamental operations.</w:t>
      </w:r>
    </w:p>
    <w:p>
      <w:pPr>
        <w:pStyle w:val="Heading1"/>
      </w:pPr>
      <w:r>
        <w:t xml:space="preserve">3. Reasoning Architecture Design</w:t>
      </w:r>
    </w:p>
    <w:p>
      <w:pPr>
        <w:pStyle w:val="Heading2"/>
      </w:pPr>
      <w:r>
        <w:t xml:space="preserve">3.1 Task Hierarchy</w:t>
      </w:r>
    </w:p>
    <w:p>
      <w:pPr>
        <w:spacing w:after="100"/>
      </w:pPr>
      <w:r>
        <w:t xml:space="preserve">Reasoning capabilities will be introduced progressively through a staged task hierarchy:</w:t>
      </w:r>
    </w:p>
    <w:p>
      <w:pPr>
        <w:pStyle w:val="ListParagraph"/>
        <w:numPr>
          <w:ilvl w:val="0"/>
          <w:numId w:val="3"/>
        </w:numPr>
      </w:pPr>
      <w:r>
        <w:rPr>
          <w:b/>
          <w:bCs/>
        </w:rPr>
        <w:t xml:space="preserve">Stage 1: Symbolic Equality and Substitution</w:t>
      </w:r>
    </w:p>
    <w:p>
      <w:pPr>
        <w:pStyle w:val="ListParagraph"/>
        <w:numPr>
          <w:ilvl w:val="1"/>
          <w:numId w:val="2"/>
        </w:numPr>
      </w:pPr>
      <w:r>
        <w:t xml:space="preserve">Task: Given a=b, predict the value when queried about a</w:t>
      </w:r>
    </w:p>
    <w:p>
      <w:pPr>
        <w:pStyle w:val="ListParagraph"/>
        <w:numPr>
          <w:ilvl w:val="1"/>
          <w:numId w:val="2"/>
        </w:numPr>
      </w:pPr>
      <w:r>
        <w:t xml:space="preserve">Example: [a, EQUALS, b, QUERY, a] → b</w:t>
      </w:r>
    </w:p>
    <w:p>
      <w:pPr>
        <w:pStyle w:val="ListParagraph"/>
        <w:numPr>
          <w:ilvl w:val="1"/>
          <w:numId w:val="2"/>
        </w:numPr>
      </w:pPr>
      <w:r>
        <w:t xml:space="preserve">Vocabulary extension: QUERY token for inference requests</w:t>
      </w:r>
    </w:p>
    <w:p>
      <w:pPr>
        <w:pStyle w:val="ListParagraph"/>
        <w:numPr>
          <w:ilvl w:val="1"/>
          <w:numId w:val="2"/>
        </w:numPr>
      </w:pPr>
      <w:r>
        <w:t xml:space="preserve">This establishes the fundamental binding/substitution mechanism</w:t>
      </w:r>
    </w:p>
    <w:p>
      <w:pPr>
        <w:pStyle w:val="ListParagraph"/>
        <w:numPr>
          <w:ilvl w:val="0"/>
          <w:numId w:val="3"/>
        </w:numPr>
      </w:pPr>
      <w:r>
        <w:rPr>
          <w:b/>
          <w:bCs/>
        </w:rPr>
        <w:t xml:space="preserve">Stage 2: Transitivity Chains</w:t>
      </w:r>
    </w:p>
    <w:p>
      <w:pPr>
        <w:pStyle w:val="ListParagraph"/>
        <w:numPr>
          <w:ilvl w:val="1"/>
          <w:numId w:val="2"/>
        </w:numPr>
      </w:pPr>
      <w:r>
        <w:t xml:space="preserve">Task: Given a=b, b=c, infer a=c</w:t>
      </w:r>
    </w:p>
    <w:p>
      <w:pPr>
        <w:pStyle w:val="ListParagraph"/>
        <w:numPr>
          <w:ilvl w:val="1"/>
          <w:numId w:val="2"/>
        </w:numPr>
      </w:pPr>
      <w:r>
        <w:t xml:space="preserve">Example: [a, EQUALS, b, SEP, b, EQUALS, c, QUERY, a] → c</w:t>
      </w:r>
    </w:p>
    <w:p>
      <w:pPr>
        <w:pStyle w:val="ListParagraph"/>
        <w:numPr>
          <w:ilvl w:val="1"/>
          <w:numId w:val="2"/>
        </w:numPr>
      </w:pPr>
      <w:r>
        <w:t xml:space="preserve">Chain lengths: 2-5 steps in training, test generalisation to longer chains</w:t>
      </w:r>
    </w:p>
    <w:p>
      <w:pPr>
        <w:pStyle w:val="ListParagraph"/>
        <w:numPr>
          <w:ilvl w:val="1"/>
          <w:numId w:val="2"/>
        </w:numPr>
      </w:pPr>
      <w:r>
        <w:t xml:space="preserve">Validates that the model learns the transitivity rule, not just patterns</w:t>
      </w:r>
    </w:p>
    <w:p>
      <w:pPr>
        <w:pStyle w:val="ListParagraph"/>
        <w:numPr>
          <w:ilvl w:val="0"/>
          <w:numId w:val="3"/>
        </w:numPr>
      </w:pPr>
      <w:r>
        <w:rPr>
          <w:b/>
          <w:bCs/>
        </w:rPr>
        <w:t xml:space="preserve">Stage 3: Modus Ponens</w:t>
      </w:r>
    </w:p>
    <w:p>
      <w:pPr>
        <w:pStyle w:val="ListParagraph"/>
        <w:numPr>
          <w:ilvl w:val="1"/>
          <w:numId w:val="2"/>
        </w:numPr>
      </w:pPr>
      <w:r>
        <w:t xml:space="preserve">Task: Given P(a) and P(x)→Q(x), infer Q(a)</w:t>
      </w:r>
    </w:p>
    <w:p>
      <w:pPr>
        <w:pStyle w:val="ListParagraph"/>
        <w:numPr>
          <w:ilvl w:val="1"/>
          <w:numId w:val="2"/>
        </w:numPr>
      </w:pPr>
      <w:r>
        <w:t xml:space="preserve">Requires: Variable unification (matching x to a)</w:t>
      </w:r>
    </w:p>
    <w:p>
      <w:pPr>
        <w:pStyle w:val="ListParagraph"/>
        <w:numPr>
          <w:ilvl w:val="1"/>
          <w:numId w:val="2"/>
        </w:numPr>
      </w:pPr>
      <w:r>
        <w:t xml:space="preserve">This is the core inference step for Horn clause reasoning</w:t>
      </w:r>
    </w:p>
    <w:p>
      <w:pPr>
        <w:pStyle w:val="ListParagraph"/>
        <w:numPr>
          <w:ilvl w:val="0"/>
          <w:numId w:val="3"/>
        </w:numPr>
      </w:pPr>
      <w:r>
        <w:rPr>
          <w:b/>
          <w:bCs/>
        </w:rPr>
        <w:t xml:space="preserve">Stage 4: Multi-Step Deduction</w:t>
      </w:r>
    </w:p>
    <w:p>
      <w:pPr>
        <w:pStyle w:val="ListParagraph"/>
        <w:numPr>
          <w:ilvl w:val="1"/>
          <w:numId w:val="2"/>
        </w:numPr>
      </w:pPr>
      <w:r>
        <w:t xml:space="preserve">Task: Chain multiple modus ponens steps</w:t>
      </w:r>
    </w:p>
    <w:p>
      <w:pPr>
        <w:pStyle w:val="ListParagraph"/>
        <w:numPr>
          <w:ilvl w:val="1"/>
          <w:numId w:val="2"/>
        </w:numPr>
      </w:pPr>
      <w:r>
        <w:t xml:space="preserve">Given: P(a), P(x)→Q(x), Q(x)→R(x)</w:t>
      </w:r>
    </w:p>
    <w:p>
      <w:pPr>
        <w:pStyle w:val="ListParagraph"/>
        <w:numPr>
          <w:ilvl w:val="1"/>
          <w:numId w:val="2"/>
        </w:numPr>
      </w:pPr>
      <w:r>
        <w:t xml:space="preserve">Query: R(a)?</w:t>
      </w:r>
    </w:p>
    <w:p>
      <w:pPr>
        <w:pStyle w:val="ListParagraph"/>
        <w:numPr>
          <w:ilvl w:val="1"/>
          <w:numId w:val="2"/>
        </w:numPr>
        <w:spacing w:after="200"/>
      </w:pPr>
      <w:r>
        <w:t xml:space="preserve">Combines variable binding with inference chaining</w:t>
      </w:r>
    </w:p>
    <w:p>
      <w:pPr>
        <w:pStyle w:val="Heading2"/>
      </w:pPr>
      <w:r>
        <w:t xml:space="preserve">3.2 Architectural Options</w:t>
      </w:r>
    </w:p>
    <w:p>
      <w:pPr>
        <w:spacing w:after="100"/>
      </w:pPr>
      <w:r>
        <w:t xml:space="preserve">Three architectural approaches are considered for the reasoning extension:</w:t>
      </w:r>
    </w:p>
    <w:p>
      <w:pPr>
        <w:pStyle w:val="ListParagraph"/>
        <w:numPr>
          <w:ilvl w:val="0"/>
          <w:numId w:val="4"/>
        </w:numPr>
      </w:pPr>
      <w:r>
        <w:rPr>
          <w:b/>
          <w:bCs/>
        </w:rPr>
        <w:t xml:space="preserve">Option A: Extended Decoder (Recommended for Stages 1-2)</w:t>
      </w:r>
    </w:p>
    <w:p>
      <w:pPr>
        <w:pStyle w:val="ListParagraph"/>
        <w:numPr>
          <w:ilvl w:val="1"/>
          <w:numId w:val="2"/>
        </w:numPr>
      </w:pPr>
      <w:r>
        <w:t xml:space="preserve">Keep existing causal decoder architecture</w:t>
      </w:r>
    </w:p>
    <w:p>
      <w:pPr>
        <w:pStyle w:val="ListParagraph"/>
        <w:numPr>
          <w:ilvl w:val="1"/>
          <w:numId w:val="2"/>
        </w:numPr>
      </w:pPr>
      <w:r>
        <w:t xml:space="preserve">Add special tokens: QUERY, SEP (separator), ANSWER</w:t>
      </w:r>
    </w:p>
    <w:p>
      <w:pPr>
        <w:pStyle w:val="ListParagraph"/>
        <w:numPr>
          <w:ilvl w:val="1"/>
          <w:numId w:val="2"/>
        </w:numPr>
      </w:pPr>
      <w:r>
        <w:t xml:space="preserve">Format: [premises, SEP, query, ANSWER] → predict conclusion tokens</w:t>
      </w:r>
    </w:p>
    <w:p>
      <w:pPr>
        <w:pStyle w:val="ListParagraph"/>
        <w:numPr>
          <w:ilvl w:val="1"/>
          <w:numId w:val="2"/>
        </w:numPr>
      </w:pPr>
      <w:r>
        <w:rPr>
          <w:b/>
          <w:bCs/>
        </w:rPr>
        <w:t xml:space="preserve">Advantages: </w:t>
      </w:r>
      <w:r>
        <w:t xml:space="preserve">Minimal code changes, leverages existing training infrastructure</w:t>
      </w:r>
    </w:p>
    <w:p>
      <w:pPr>
        <w:pStyle w:val="ListParagraph"/>
        <w:numPr>
          <w:ilvl w:val="1"/>
          <w:numId w:val="2"/>
        </w:numPr>
      </w:pPr>
      <w:r>
        <w:rPr>
          <w:b/>
          <w:bCs/>
        </w:rPr>
        <w:t xml:space="preserve">Disadvantages: </w:t>
      </w:r>
      <w:r>
        <w:t xml:space="preserve">Limited attention span for long premise sets</w:t>
      </w:r>
    </w:p>
    <w:p>
      <w:pPr>
        <w:pStyle w:val="ListParagraph"/>
        <w:numPr>
          <w:ilvl w:val="0"/>
          <w:numId w:val="4"/>
        </w:numPr>
      </w:pPr>
      <w:r>
        <w:rPr>
          <w:b/>
          <w:bCs/>
        </w:rPr>
        <w:t xml:space="preserve">Option B: Encoder-Decoder (Recommended for Stages 3-4)</w:t>
      </w:r>
    </w:p>
    <w:p>
      <w:pPr>
        <w:pStyle w:val="ListParagraph"/>
        <w:numPr>
          <w:ilvl w:val="1"/>
          <w:numId w:val="2"/>
        </w:numPr>
      </w:pPr>
      <w:r>
        <w:t xml:space="preserve">Separate encoder for premises, decoder for conclusions</w:t>
      </w:r>
    </w:p>
    <w:p>
      <w:pPr>
        <w:pStyle w:val="ListParagraph"/>
        <w:numPr>
          <w:ilvl w:val="1"/>
          <w:numId w:val="2"/>
        </w:numPr>
      </w:pPr>
      <w:r>
        <w:t xml:space="preserve">Cross-attention between encoder output and decoder</w:t>
      </w:r>
    </w:p>
    <w:p>
      <w:pPr>
        <w:pStyle w:val="ListParagraph"/>
        <w:numPr>
          <w:ilvl w:val="1"/>
          <w:numId w:val="2"/>
        </w:numPr>
      </w:pPr>
      <w:r>
        <w:rPr>
          <w:b/>
          <w:bCs/>
        </w:rPr>
        <w:t xml:space="preserve">Advantages: </w:t>
      </w:r>
      <w:r>
        <w:t xml:space="preserve">Better premise encoding, natural for sequence-to-sequence</w:t>
      </w:r>
    </w:p>
    <w:p>
      <w:pPr>
        <w:pStyle w:val="ListParagraph"/>
        <w:numPr>
          <w:ilvl w:val="1"/>
          <w:numId w:val="2"/>
        </w:numPr>
      </w:pPr>
      <w:r>
        <w:rPr>
          <w:b/>
          <w:bCs/>
        </w:rPr>
        <w:t xml:space="preserve">Disadvantages: </w:t>
      </w:r>
      <w:r>
        <w:t xml:space="preserve">Requires new architecture code, ~2× parameters</w:t>
      </w:r>
    </w:p>
    <w:p>
      <w:pPr>
        <w:pStyle w:val="ListParagraph"/>
        <w:numPr>
          <w:ilvl w:val="0"/>
          <w:numId w:val="4"/>
        </w:numPr>
      </w:pPr>
      <w:r>
        <w:rPr>
          <w:b/>
          <w:bCs/>
        </w:rPr>
        <w:t xml:space="preserve">Option C: Hybrid with Scratchpad (Future Research)</w:t>
      </w:r>
    </w:p>
    <w:p>
      <w:pPr>
        <w:pStyle w:val="ListParagraph"/>
        <w:numPr>
          <w:ilvl w:val="1"/>
          <w:numId w:val="2"/>
        </w:numPr>
      </w:pPr>
      <w:r>
        <w:t xml:space="preserve">Extended decoder with intermediate reasoning tokens</w:t>
      </w:r>
    </w:p>
    <w:p>
      <w:pPr>
        <w:pStyle w:val="ListParagraph"/>
        <w:numPr>
          <w:ilvl w:val="1"/>
          <w:numId w:val="2"/>
        </w:numPr>
      </w:pPr>
      <w:r>
        <w:t xml:space="preserve">Model generates "chain-of-thought" before final answer</w:t>
      </w:r>
    </w:p>
    <w:p>
      <w:pPr>
        <w:pStyle w:val="ListParagraph"/>
        <w:numPr>
          <w:ilvl w:val="1"/>
          <w:numId w:val="2"/>
        </w:numPr>
      </w:pPr>
      <w:r>
        <w:rPr>
          <w:b/>
          <w:bCs/>
        </w:rPr>
        <w:t xml:space="preserve">Advantages: </w:t>
      </w:r>
      <w:r>
        <w:t xml:space="preserve">Interpretable reasoning trace, better for complex inference</w:t>
      </w:r>
    </w:p>
    <w:p>
      <w:pPr>
        <w:pStyle w:val="ListParagraph"/>
        <w:numPr>
          <w:ilvl w:val="1"/>
          <w:numId w:val="2"/>
        </w:numPr>
        <w:spacing w:after="200"/>
      </w:pPr>
      <w:r>
        <w:rPr>
          <w:b/>
          <w:bCs/>
        </w:rPr>
        <w:t xml:space="preserve">Disadvantages: </w:t>
      </w:r>
      <w:r>
        <w:t xml:space="preserve">Requires careful supervision of intermediate steps</w:t>
      </w:r>
    </w:p>
    <w:p>
      <w:pPr>
        <w:pStyle w:val="Heading2"/>
      </w:pPr>
      <w:r>
        <w:t xml:space="preserve">3.3 Recommended Approach: Staged Migration</w:t>
      </w:r>
    </w:p>
    <w:p>
      <w:pPr>
        <w:spacing w:after="200"/>
      </w:pPr>
      <w:r>
        <w:t xml:space="preserve">Begin with Option A (extended decoder) for Stages 1-2, demonstrating reasoning capability with minimal architectural change. Migrate to Option B (encoder-decoder) for Stages 3-4 when variable unification becomes essential. This approach de-risks the project while building publishable results at each stage.</w:t>
      </w:r>
    </w:p>
    <w:p>
      <w:r>
        <w:br w:type="page"/>
      </w:r>
    </w:p>
    <w:p>
      <w:pPr>
        <w:pStyle w:val="Heading1"/>
      </w:pPr>
      <w:r>
        <w:t xml:space="preserve">4. Vocabulary Extensions</w:t>
      </w:r>
    </w:p>
    <w:p>
      <w:pPr>
        <w:pStyle w:val="Heading2"/>
      </w:pPr>
      <w:r>
        <w:t xml:space="preserve">4.1 New Token Definitions</w:t>
      </w:r>
    </w:p>
    <w:p>
      <w:pPr>
        <w:spacing w:after="100"/>
      </w:pPr>
      <w:r>
        <w:t xml:space="preserve">The following tokens extend the existing vocabulary for reasoning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400"/>
      </w:tblGrid>
      <w:tr>
        <w:trPr>
          <w:tblHeader/>
        </w:trPr>
        <w:tc>
          <w:tcPr>
            <w:tcW w:type="dxa" w:w="1800"/>
            <w:tcBorders>
              <w:top w:val="single" w:color="CCCCCC" w:sz="1"/>
              <w:left w:val="single" w:color="CCCCCC" w:sz="1"/>
              <w:bottom w:val="single" w:color="CCCCCC" w:sz="1"/>
              <w:right w:val="single" w:color="CCCCCC" w:sz="1"/>
            </w:tcBorders>
            <w:shd w:fill="e8f4f8" w:val="0"/>
          </w:tcPr>
          <w:p>
            <w:r>
              <w:rPr>
                <w:b/>
                <w:bCs/>
              </w:rPr>
              <w:t xml:space="preserve">Token</w:t>
            </w:r>
          </w:p>
        </w:tc>
        <w:tc>
          <w:tcPr>
            <w:tcW w:type="dxa" w:w="1200"/>
            <w:tcBorders>
              <w:top w:val="single" w:color="CCCCCC" w:sz="1"/>
              <w:left w:val="single" w:color="CCCCCC" w:sz="1"/>
              <w:bottom w:val="single" w:color="CCCCCC" w:sz="1"/>
              <w:right w:val="single" w:color="CCCCCC" w:sz="1"/>
            </w:tcBorders>
            <w:shd w:fill="e8f4f8" w:val="0"/>
          </w:tcPr>
          <w:p>
            <w:r>
              <w:rPr>
                <w:b/>
                <w:bCs/>
              </w:rPr>
              <w:t xml:space="preserve">ID</w:t>
            </w:r>
          </w:p>
        </w:tc>
        <w:tc>
          <w:tcPr>
            <w:tcW w:type="dxa" w:w="5400"/>
            <w:tcBorders>
              <w:top w:val="single" w:color="CCCCCC" w:sz="1"/>
              <w:left w:val="single" w:color="CCCCCC" w:sz="1"/>
              <w:bottom w:val="single" w:color="CCCCCC" w:sz="1"/>
              <w:right w:val="single" w:color="CCCCCC" w:sz="1"/>
            </w:tcBorders>
            <w:shd w:fill="e8f4f8" w:val="0"/>
          </w:tcPr>
          <w:p>
            <w:r>
              <w:rPr>
                <w:b/>
                <w:bCs/>
              </w:rPr>
              <w:t xml:space="preserve">Purpose</w:t>
            </w:r>
          </w:p>
        </w:tc>
      </w:tr>
      <w:tr>
        <w:tc>
          <w:tcPr>
            <w:tcW w:type="dxa" w:w="180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SEP</w:t>
            </w:r>
          </w:p>
        </w:tc>
        <w:tc>
          <w:tcPr>
            <w:tcW w:type="dxa" w:w="1200"/>
            <w:tcBorders>
              <w:top w:val="single" w:color="CCCCCC" w:sz="1"/>
              <w:left w:val="single" w:color="CCCCCC" w:sz="1"/>
              <w:bottom w:val="single" w:color="CCCCCC" w:sz="1"/>
              <w:right w:val="single" w:color="CCCCCC" w:sz="1"/>
            </w:tcBorders>
          </w:tcPr>
          <w:p>
            <w:r>
              <w:t xml:space="preserve">663</w:t>
            </w:r>
          </w:p>
        </w:tc>
        <w:tc>
          <w:tcPr>
            <w:tcW w:type="dxa" w:w="5400"/>
            <w:tcBorders>
              <w:top w:val="single" w:color="CCCCCC" w:sz="1"/>
              <w:left w:val="single" w:color="CCCCCC" w:sz="1"/>
              <w:bottom w:val="single" w:color="CCCCCC" w:sz="1"/>
              <w:right w:val="single" w:color="CCCCCC" w:sz="1"/>
            </w:tcBorders>
          </w:tcPr>
          <w:p>
            <w:r>
              <w:t xml:space="preserve">Separates premises from query</w:t>
            </w:r>
          </w:p>
        </w:tc>
      </w:tr>
      <w:tr>
        <w:tc>
          <w:tcPr>
            <w:tcW w:type="dxa" w:w="180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QUERY</w:t>
            </w:r>
          </w:p>
        </w:tc>
        <w:tc>
          <w:tcPr>
            <w:tcW w:type="dxa" w:w="1200"/>
            <w:tcBorders>
              <w:top w:val="single" w:color="CCCCCC" w:sz="1"/>
              <w:left w:val="single" w:color="CCCCCC" w:sz="1"/>
              <w:bottom w:val="single" w:color="CCCCCC" w:sz="1"/>
              <w:right w:val="single" w:color="CCCCCC" w:sz="1"/>
            </w:tcBorders>
          </w:tcPr>
          <w:p>
            <w:r>
              <w:t xml:space="preserve">664</w:t>
            </w:r>
          </w:p>
        </w:tc>
        <w:tc>
          <w:tcPr>
            <w:tcW w:type="dxa" w:w="5400"/>
            <w:tcBorders>
              <w:top w:val="single" w:color="CCCCCC" w:sz="1"/>
              <w:left w:val="single" w:color="CCCCCC" w:sz="1"/>
              <w:bottom w:val="single" w:color="CCCCCC" w:sz="1"/>
              <w:right w:val="single" w:color="CCCCCC" w:sz="1"/>
            </w:tcBorders>
          </w:tcPr>
          <w:p>
            <w:r>
              <w:t xml:space="preserve">Marks the query variable/expression</w:t>
            </w:r>
          </w:p>
        </w:tc>
      </w:tr>
      <w:tr>
        <w:tc>
          <w:tcPr>
            <w:tcW w:type="dxa" w:w="180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ANSWER</w:t>
            </w:r>
          </w:p>
        </w:tc>
        <w:tc>
          <w:tcPr>
            <w:tcW w:type="dxa" w:w="1200"/>
            <w:tcBorders>
              <w:top w:val="single" w:color="CCCCCC" w:sz="1"/>
              <w:left w:val="single" w:color="CCCCCC" w:sz="1"/>
              <w:bottom w:val="single" w:color="CCCCCC" w:sz="1"/>
              <w:right w:val="single" w:color="CCCCCC" w:sz="1"/>
            </w:tcBorders>
          </w:tcPr>
          <w:p>
            <w:r>
              <w:t xml:space="preserve">665</w:t>
            </w:r>
          </w:p>
        </w:tc>
        <w:tc>
          <w:tcPr>
            <w:tcW w:type="dxa" w:w="5400"/>
            <w:tcBorders>
              <w:top w:val="single" w:color="CCCCCC" w:sz="1"/>
              <w:left w:val="single" w:color="CCCCCC" w:sz="1"/>
              <w:bottom w:val="single" w:color="CCCCCC" w:sz="1"/>
              <w:right w:val="single" w:color="CCCCCC" w:sz="1"/>
            </w:tcBorders>
          </w:tcPr>
          <w:p>
            <w:r>
              <w:t xml:space="preserve">Signals start of answer generation</w:t>
            </w:r>
          </w:p>
        </w:tc>
      </w:tr>
      <w:tr>
        <w:tc>
          <w:tcPr>
            <w:tcW w:type="dxa" w:w="180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END</w:t>
            </w:r>
          </w:p>
        </w:tc>
        <w:tc>
          <w:tcPr>
            <w:tcW w:type="dxa" w:w="1200"/>
            <w:tcBorders>
              <w:top w:val="single" w:color="CCCCCC" w:sz="1"/>
              <w:left w:val="single" w:color="CCCCCC" w:sz="1"/>
              <w:bottom w:val="single" w:color="CCCCCC" w:sz="1"/>
              <w:right w:val="single" w:color="CCCCCC" w:sz="1"/>
            </w:tcBorders>
          </w:tcPr>
          <w:p>
            <w:r>
              <w:t xml:space="preserve">666</w:t>
            </w:r>
          </w:p>
        </w:tc>
        <w:tc>
          <w:tcPr>
            <w:tcW w:type="dxa" w:w="5400"/>
            <w:tcBorders>
              <w:top w:val="single" w:color="CCCCCC" w:sz="1"/>
              <w:left w:val="single" w:color="CCCCCC" w:sz="1"/>
              <w:bottom w:val="single" w:color="CCCCCC" w:sz="1"/>
              <w:right w:val="single" w:color="CCCCCC" w:sz="1"/>
            </w:tcBorders>
          </w:tcPr>
          <w:p>
            <w:r>
              <w:t xml:space="preserve">Marks end of answer sequence</w:t>
            </w:r>
          </w:p>
        </w:tc>
      </w:tr>
      <w:tr>
        <w:tc>
          <w:tcPr>
            <w:tcW w:type="dxa" w:w="180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UNKNOWN</w:t>
            </w:r>
          </w:p>
        </w:tc>
        <w:tc>
          <w:tcPr>
            <w:tcW w:type="dxa" w:w="1200"/>
            <w:tcBorders>
              <w:top w:val="single" w:color="CCCCCC" w:sz="1"/>
              <w:left w:val="single" w:color="CCCCCC" w:sz="1"/>
              <w:bottom w:val="single" w:color="CCCCCC" w:sz="1"/>
              <w:right w:val="single" w:color="CCCCCC" w:sz="1"/>
            </w:tcBorders>
          </w:tcPr>
          <w:p>
            <w:r>
              <w:t xml:space="preserve">667</w:t>
            </w:r>
          </w:p>
        </w:tc>
        <w:tc>
          <w:tcPr>
            <w:tcW w:type="dxa" w:w="5400"/>
            <w:tcBorders>
              <w:top w:val="single" w:color="CCCCCC" w:sz="1"/>
              <w:left w:val="single" w:color="CCCCCC" w:sz="1"/>
              <w:bottom w:val="single" w:color="CCCCCC" w:sz="1"/>
              <w:right w:val="single" w:color="CCCCCC" w:sz="1"/>
            </w:tcBorders>
          </w:tcPr>
          <w:p>
            <w:r>
              <w:t xml:space="preserve">Answer when query cannot be inferred</w:t>
            </w:r>
          </w:p>
        </w:tc>
      </w:tr>
    </w:tbl>
    <w:p>
      <w:pPr>
        <w:spacing w:before="200" w:after="200"/>
      </w:pPr>
      <w:r>
        <w:rPr>
          <w:i/>
          <w:iCs/>
        </w:rPr>
        <w:t xml:space="preserve">Vocabulary size increases from 662 to 668 </w:t>
      </w:r>
      <w:r>
        <w:rPr>
          <w:i/>
          <w:iCs/>
        </w:rPr>
        <w:t xml:space="preserve">(+0.9%)</w:t>
      </w:r>
    </w:p>
    <w:p>
      <w:pPr>
        <w:pStyle w:val="Heading2"/>
      </w:pPr>
      <w:r>
        <w:t xml:space="preserve">4.2 Sequence Format</w:t>
      </w:r>
    </w:p>
    <w:p>
      <w:pPr>
        <w:spacing w:after="100"/>
      </w:pPr>
      <w:r>
        <w:t xml:space="preserve">Reasoning sequences follow this canonical format:</w:t>
      </w:r>
    </w:p>
    <w:p>
      <w:pPr>
        <w:pStyle w:val="CodeBlock"/>
        <w:spacing w:after="100"/>
      </w:pPr>
      <w:r>
        <w:t xml:space="preserve">Format:  [Premise₁] SEP [Premise₂] SEP ... SEP QUERY [variable] ANSWER [result] END</w:t>
      </w:r>
    </w:p>
    <w:p>
      <w:pPr>
        <w:pStyle w:val="CodeBlock"/>
        <w:spacing w:after="100"/>
      </w:pPr>
      <w:r>
        <w:t xml:space="preserve">Example: VAR 0 EQUALS VAR 1 SEP VAR 1 EQUALS VAR 2 SEP QUERY VAR 0 ANSWER VAR 2 END</w:t>
      </w:r>
    </w:p>
    <w:p>
      <w:pPr>
        <w:pStyle w:val="CodeBlock"/>
        <w:spacing w:after="200"/>
      </w:pPr>
      <w:r>
        <w:t xml:space="preserve">Meaning: Given a=b, b=c, what is a?  Answer: c</w:t>
      </w:r>
    </w:p>
    <w:p>
      <w:pPr>
        <w:pStyle w:val="Heading1"/>
      </w:pPr>
      <w:r>
        <w:t xml:space="preserve">5. Dataset Generation</w:t>
      </w:r>
    </w:p>
    <w:p>
      <w:pPr>
        <w:pStyle w:val="Heading2"/>
      </w:pPr>
      <w:r>
        <w:t xml:space="preserve">5.1 Generator Architecture</w:t>
      </w:r>
    </w:p>
    <w:p>
      <w:pPr>
        <w:spacing w:after="200"/>
      </w:pPr>
      <w:r>
        <w:t xml:space="preserve">A new reasoning dataset generator will be implemented as an extension to the existing FOLFormulaGenerator. The generator must produce training examples that are both valid (conclusions follow from premises) and diverse (cover the space of possible inference patterns).</w:t>
      </w:r>
    </w:p>
    <w:p>
      <w:pPr>
        <w:pStyle w:val="Heading2"/>
      </w:pPr>
      <w:r>
        <w:t xml:space="preserve">5.2 Stage 1: Equality Substitution Dataset</w:t>
      </w:r>
    </w:p>
    <w:p>
      <w:pPr>
        <w:pStyle w:val="CodeBlock"/>
        <w:spacing w:after="100"/>
      </w:pPr>
      <w:r>
        <w:t xml:space="preserve">class EqualitySubstitutionGenerator:</w:t>
      </w:r>
    </w:p>
    <w:p>
      <w:pPr>
        <w:pStyle w:val="CodeBlock"/>
        <w:spacing w:after="100"/>
      </w:pPr>
      <w:r>
        <w:t xml:space="preserve">    def generate_sample() -&gt; dict:</w:t>
      </w:r>
    </w:p>
    <w:p>
      <w:pPr>
        <w:pStyle w:val="CodeBlock"/>
        <w:spacing w:after="100"/>
      </w:pPr>
      <w:r>
        <w:t xml:space="preserve">        # Generate: VAR_a = VAR_b, query VAR_a → answer VAR_b</w:t>
      </w:r>
    </w:p>
    <w:p>
      <w:pPr>
        <w:pStyle w:val="CodeBlock"/>
        <w:spacing w:after="100"/>
      </w:pPr>
      <w:r>
        <w:t xml:space="preserve">        a, b = random_distinct_vars(2)</w:t>
      </w:r>
    </w:p>
    <w:p>
      <w:pPr>
        <w:pStyle w:val="CodeBlock"/>
        <w:spacing w:after="100"/>
      </w:pPr>
      <w:r>
        <w:t xml:space="preserve">        premise = [VAR, a, EQUALS, VAR, b]</w:t>
      </w:r>
    </w:p>
    <w:p>
      <w:pPr>
        <w:pStyle w:val="CodeBlock"/>
        <w:spacing w:after="100"/>
      </w:pPr>
      <w:r>
        <w:t xml:space="preserve">        query = [QUERY, VAR, a]</w:t>
      </w:r>
    </w:p>
    <w:p>
      <w:pPr>
        <w:pStyle w:val="CodeBlock"/>
        <w:spacing w:after="200"/>
      </w:pPr>
      <w:r>
        <w:t xml:space="preserve">        answer = [ANSWER, VAR, b, END]</w:t>
      </w:r>
    </w:p>
    <w:p>
      <w:pPr>
        <w:spacing w:after="100"/>
      </w:pPr>
      <w:r>
        <w:rPr>
          <w:b/>
          <w:bCs/>
        </w:rPr>
        <w:t xml:space="preserve">Variations to include:</w:t>
      </w:r>
    </w:p>
    <w:p>
      <w:pPr>
        <w:pStyle w:val="ListParagraph"/>
        <w:numPr>
          <w:ilvl w:val="0"/>
          <w:numId w:val="2"/>
        </w:numPr>
      </w:pPr>
      <w:r>
        <w:t xml:space="preserve">Direct substitution: a=b, query a → b</w:t>
      </w:r>
    </w:p>
    <w:p>
      <w:pPr>
        <w:pStyle w:val="ListParagraph"/>
        <w:numPr>
          <w:ilvl w:val="0"/>
          <w:numId w:val="2"/>
        </w:numPr>
      </w:pPr>
      <w:r>
        <w:t xml:space="preserve">Reverse query: a=b, query b → a (tests bidirectionality)</w:t>
      </w:r>
    </w:p>
    <w:p>
      <w:pPr>
        <w:pStyle w:val="ListParagraph"/>
        <w:numPr>
          <w:ilvl w:val="0"/>
          <w:numId w:val="2"/>
        </w:numPr>
      </w:pPr>
      <w:r>
        <w:t xml:space="preserve">Multi-digit indices: VAR 12 = VAR 345 (tests compositional generalisation)</w:t>
      </w:r>
    </w:p>
    <w:p>
      <w:pPr>
        <w:pStyle w:val="ListParagraph"/>
        <w:numPr>
          <w:ilvl w:val="0"/>
          <w:numId w:val="2"/>
        </w:numPr>
        <w:spacing w:after="200"/>
      </w:pPr>
      <w:r>
        <w:t xml:space="preserve">Unknown query: a=b, query c → UNKNOWN</w:t>
      </w:r>
    </w:p>
    <w:p>
      <w:pPr>
        <w:pStyle w:val="Heading2"/>
      </w:pPr>
      <w:r>
        <w:t xml:space="preserve">5.3 Stage 2: Transitivity Dataset</w:t>
      </w:r>
    </w:p>
    <w:p>
      <w:pPr>
        <w:pStyle w:val="CodeBlock"/>
        <w:spacing w:after="100"/>
      </w:pPr>
      <w:r>
        <w:t xml:space="preserve">class TransitivityGenerator:</w:t>
      </w:r>
    </w:p>
    <w:p>
      <w:pPr>
        <w:pStyle w:val="CodeBlock"/>
        <w:spacing w:after="100"/>
      </w:pPr>
      <w:r>
        <w:t xml:space="preserve">    def generate_chain(length: int) -&gt; dict:</w:t>
      </w:r>
    </w:p>
    <w:p>
      <w:pPr>
        <w:pStyle w:val="CodeBlock"/>
        <w:spacing w:after="100"/>
      </w:pPr>
      <w:r>
        <w:t xml:space="preserve">        # Generate chain: a=b, b=c, c=d, ... query a → final</w:t>
      </w:r>
    </w:p>
    <w:p>
      <w:pPr>
        <w:pStyle w:val="CodeBlock"/>
        <w:spacing w:after="100"/>
      </w:pPr>
      <w:r>
        <w:t xml:space="preserve">        vars = random_distinct_vars(length + 1)</w:t>
      </w:r>
    </w:p>
    <w:p>
      <w:pPr>
        <w:pStyle w:val="CodeBlock"/>
        <w:spacing w:after="100"/>
      </w:pPr>
      <w:r>
        <w:t xml:space="preserve">        premises = [[VAR, vars[i], EQUALS, VAR, vars[i+1]]</w:t>
      </w:r>
    </w:p>
    <w:p>
      <w:pPr>
        <w:pStyle w:val="CodeBlock"/>
        <w:spacing w:after="100"/>
      </w:pPr>
      <w:r>
        <w:t xml:space="preserve">                    for i in range(length)]</w:t>
      </w:r>
    </w:p>
    <w:p>
      <w:pPr>
        <w:pStyle w:val="CodeBlock"/>
        <w:spacing w:after="200"/>
      </w:pPr>
      <w:r>
        <w:t xml:space="preserve">        return join_with_sep(premises) + [QUERY, VAR, vars[0], ANSWER, VAR, vars[-1], END]</w:t>
      </w:r>
    </w:p>
    <w:p>
      <w:pPr>
        <w:spacing w:after="100"/>
      </w:pPr>
      <w:r>
        <w:rPr>
          <w:b/>
          <w:bCs/>
        </w:rPr>
        <w:t xml:space="preserve">Training distribution:</w:t>
      </w:r>
    </w:p>
    <w:p>
      <w:pPr>
        <w:pStyle w:val="ListParagraph"/>
        <w:numPr>
          <w:ilvl w:val="0"/>
          <w:numId w:val="2"/>
        </w:numPr>
      </w:pPr>
      <w:r>
        <w:t xml:space="preserve">Chain length 2: 40% of samples</w:t>
      </w:r>
    </w:p>
    <w:p>
      <w:pPr>
        <w:pStyle w:val="ListParagraph"/>
        <w:numPr>
          <w:ilvl w:val="0"/>
          <w:numId w:val="2"/>
        </w:numPr>
      </w:pPr>
      <w:r>
        <w:t xml:space="preserve">Chain length 3: 35% of samples</w:t>
      </w:r>
    </w:p>
    <w:p>
      <w:pPr>
        <w:pStyle w:val="ListParagraph"/>
        <w:numPr>
          <w:ilvl w:val="0"/>
          <w:numId w:val="2"/>
        </w:numPr>
      </w:pPr>
      <w:r>
        <w:t xml:space="preserve">Chain length 4: 20% of samples</w:t>
      </w:r>
    </w:p>
    <w:p>
      <w:pPr>
        <w:pStyle w:val="ListParagraph"/>
        <w:numPr>
          <w:ilvl w:val="0"/>
          <w:numId w:val="2"/>
        </w:numPr>
        <w:spacing w:after="100"/>
      </w:pPr>
      <w:r>
        <w:t xml:space="preserve">Chain length 5: 5% of samples</w:t>
      </w:r>
    </w:p>
    <w:p>
      <w:pPr>
        <w:spacing w:after="200"/>
      </w:pPr>
      <w:r>
        <w:rPr>
          <w:i/>
          <w:iCs/>
        </w:rPr>
        <w:t xml:space="preserve">Test set includes chain lengths 6-8 to evaluate out-of-distribution generalisation.</w:t>
      </w:r>
    </w:p>
    <w:p>
      <w:pPr>
        <w:pStyle w:val="Heading2"/>
      </w:pPr>
      <w:r>
        <w:t xml:space="preserve">5.4 Stage 3: Modus Ponens Dataset</w:t>
      </w:r>
    </w:p>
    <w:p>
      <w:pPr>
        <w:pStyle w:val="CodeBlock"/>
        <w:spacing w:after="100"/>
      </w:pPr>
      <w:r>
        <w:t xml:space="preserve">class ModusPonensGenerator:</w:t>
      </w:r>
    </w:p>
    <w:p>
      <w:pPr>
        <w:pStyle w:val="CodeBlock"/>
        <w:spacing w:after="100"/>
      </w:pPr>
      <w:r>
        <w:t xml:space="preserve">    def generate_sample() -&gt; dict:</w:t>
      </w:r>
    </w:p>
    <w:p>
      <w:pPr>
        <w:pStyle w:val="CodeBlock"/>
        <w:spacing w:after="100"/>
      </w:pPr>
      <w:r>
        <w:t xml:space="preserve">        # P(a), P(x)-&gt;Q(x) ⊢ Q(a)</w:t>
      </w:r>
    </w:p>
    <w:p>
      <w:pPr>
        <w:pStyle w:val="CodeBlock"/>
        <w:spacing w:after="100"/>
      </w:pPr>
      <w:r>
        <w:t xml:space="preserve">        pred_p, pred_q = random_distinct_preds(2)</w:t>
      </w:r>
    </w:p>
    <w:p>
      <w:pPr>
        <w:pStyle w:val="CodeBlock"/>
        <w:spacing w:after="100"/>
      </w:pPr>
      <w:r>
        <w:t xml:space="preserve">        var_a, var_x = random_distinct_vars(2)</w:t>
      </w:r>
    </w:p>
    <w:p>
      <w:pPr>
        <w:pStyle w:val="CodeBlock"/>
        <w:spacing w:after="100"/>
      </w:pPr>
      <w:r>
        <w:t xml:space="preserve">        </w:t>
      </w:r>
    </w:p>
    <w:p>
      <w:pPr>
        <w:pStyle w:val="CodeBlock"/>
        <w:spacing w:after="100"/>
      </w:pPr>
      <w:r>
        <w:t xml:space="preserve">        premise1 = encode_predicate(pred_p, [var_a])  # P(a)</w:t>
      </w:r>
    </w:p>
    <w:p>
      <w:pPr>
        <w:pStyle w:val="CodeBlock"/>
        <w:spacing w:after="100"/>
      </w:pPr>
      <w:r>
        <w:t xml:space="preserve">        premise2 = encode_implication(                 # P(x)-&gt;Q(x)</w:t>
      </w:r>
    </w:p>
    <w:p>
      <w:pPr>
        <w:pStyle w:val="CodeBlock"/>
        <w:spacing w:after="100"/>
      </w:pPr>
      <w:r>
        <w:t xml:space="preserve">            encode_predicate(pred_p, [var_x]),</w:t>
      </w:r>
    </w:p>
    <w:p>
      <w:pPr>
        <w:pStyle w:val="CodeBlock"/>
        <w:spacing w:after="100"/>
      </w:pPr>
      <w:r>
        <w:t xml:space="preserve">            encode_predicate(pred_q, [var_x]))</w:t>
      </w:r>
    </w:p>
    <w:p>
      <w:pPr>
        <w:pStyle w:val="CodeBlock"/>
        <w:spacing w:after="200"/>
      </w:pPr>
      <w:r>
        <w:t xml:space="preserve">        conclusion = encode_predicate(pred_q, [var_a]) # Q(a)</w:t>
      </w:r>
    </w:p>
    <w:p>
      <w:pPr>
        <w:spacing w:after="100"/>
      </w:pPr>
      <w:r>
        <w:rPr>
          <w:b/>
          <w:bCs/>
        </w:rPr>
        <w:t xml:space="preserve">Critical: Variable Unification</w:t>
      </w:r>
    </w:p>
    <w:p>
      <w:pPr>
        <w:spacing w:after="200"/>
      </w:pPr>
      <w:r>
        <w:t xml:space="preserve">The model must learn that x in the implication unifies with a in the premise. This is tested by varying which variable names are used in premises vs implications, ensuring the model learns the binding rule rather than memorising specific variable patterns.</w:t>
      </w:r>
    </w:p>
    <w:p>
      <w:pPr>
        <w:pStyle w:val="Heading2"/>
      </w:pPr>
      <w:r>
        <w:t xml:space="preserve">5.5 Dataset Sizes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tblGrid>
      <w:tr>
        <w:trPr>
          <w:tblHeader/>
        </w:trPr>
        <w:tc>
          <w:tcPr>
            <w:tcW w:type="dxa" w:w="2100"/>
            <w:tcBorders>
              <w:top w:val="single" w:color="CCCCCC" w:sz="1"/>
              <w:left w:val="single" w:color="CCCCCC" w:sz="1"/>
              <w:bottom w:val="single" w:color="CCCCCC" w:sz="1"/>
              <w:right w:val="single" w:color="CCCCCC" w:sz="1"/>
            </w:tcBorders>
            <w:shd w:fill="e8f4f8" w:val="0"/>
          </w:tcPr>
          <w:p>
            <w:r>
              <w:rPr>
                <w:b/>
                <w:bCs/>
              </w:rPr>
              <w:t xml:space="preserve">Stage</w:t>
            </w:r>
          </w:p>
        </w:tc>
        <w:tc>
          <w:tcPr>
            <w:tcW w:type="dxa" w:w="2100"/>
            <w:tcBorders>
              <w:top w:val="single" w:color="CCCCCC" w:sz="1"/>
              <w:left w:val="single" w:color="CCCCCC" w:sz="1"/>
              <w:bottom w:val="single" w:color="CCCCCC" w:sz="1"/>
              <w:right w:val="single" w:color="CCCCCC" w:sz="1"/>
            </w:tcBorders>
            <w:shd w:fill="e8f4f8" w:val="0"/>
          </w:tcPr>
          <w:p>
            <w:r>
              <w:rPr>
                <w:b/>
                <w:bCs/>
              </w:rPr>
              <w:t xml:space="preserve">Train</w:t>
            </w:r>
          </w:p>
        </w:tc>
        <w:tc>
          <w:tcPr>
            <w:tcW w:type="dxa" w:w="2100"/>
            <w:tcBorders>
              <w:top w:val="single" w:color="CCCCCC" w:sz="1"/>
              <w:left w:val="single" w:color="CCCCCC" w:sz="1"/>
              <w:bottom w:val="single" w:color="CCCCCC" w:sz="1"/>
              <w:right w:val="single" w:color="CCCCCC" w:sz="1"/>
            </w:tcBorders>
            <w:shd w:fill="e8f4f8" w:val="0"/>
          </w:tcPr>
          <w:p>
            <w:r>
              <w:rPr>
                <w:b/>
                <w:bCs/>
              </w:rPr>
              <w:t xml:space="preserve">Validation</w:t>
            </w:r>
          </w:p>
        </w:tc>
        <w:tc>
          <w:tcPr>
            <w:tcW w:type="dxa" w:w="2100"/>
            <w:tcBorders>
              <w:top w:val="single" w:color="CCCCCC" w:sz="1"/>
              <w:left w:val="single" w:color="CCCCCC" w:sz="1"/>
              <w:bottom w:val="single" w:color="CCCCCC" w:sz="1"/>
              <w:right w:val="single" w:color="CCCCCC" w:sz="1"/>
            </w:tcBorders>
            <w:shd w:fill="e8f4f8" w:val="0"/>
          </w:tcPr>
          <w:p>
            <w:r>
              <w:rPr>
                <w:b/>
                <w:bCs/>
              </w:rPr>
              <w:t xml:space="preserve">Test</w:t>
            </w:r>
          </w:p>
        </w:tc>
      </w:tr>
      <w:tr>
        <w:tc>
          <w:tcPr>
            <w:tcBorders>
              <w:top w:val="single" w:color="CCCCCC" w:sz="1"/>
              <w:left w:val="single" w:color="CCCCCC" w:sz="1"/>
              <w:bottom w:val="single" w:color="CCCCCC" w:sz="1"/>
              <w:right w:val="single" w:color="CCCCCC" w:sz="1"/>
            </w:tcBorders>
          </w:tcPr>
          <w:p>
            <w:r>
              <w:t xml:space="preserve">Equality</w:t>
            </w:r>
          </w:p>
        </w:tc>
        <w:tc>
          <w:tcPr>
            <w:tcBorders>
              <w:top w:val="single" w:color="CCCCCC" w:sz="1"/>
              <w:left w:val="single" w:color="CCCCCC" w:sz="1"/>
              <w:bottom w:val="single" w:color="CCCCCC" w:sz="1"/>
              <w:right w:val="single" w:color="CCCCCC" w:sz="1"/>
            </w:tcBorders>
          </w:tcPr>
          <w:p>
            <w:r>
              <w:t xml:space="preserve">100K</w:t>
            </w:r>
          </w:p>
        </w:tc>
        <w:tc>
          <w:tcPr>
            <w:tcBorders>
              <w:top w:val="single" w:color="CCCCCC" w:sz="1"/>
              <w:left w:val="single" w:color="CCCCCC" w:sz="1"/>
              <w:bottom w:val="single" w:color="CCCCCC" w:sz="1"/>
              <w:right w:val="single" w:color="CCCCCC" w:sz="1"/>
            </w:tcBorders>
          </w:tcPr>
          <w:p>
            <w:r>
              <w:t xml:space="preserve">10K</w:t>
            </w:r>
          </w:p>
        </w:tc>
        <w:tc>
          <w:tcPr>
            <w:tcBorders>
              <w:top w:val="single" w:color="CCCCCC" w:sz="1"/>
              <w:left w:val="single" w:color="CCCCCC" w:sz="1"/>
              <w:bottom w:val="single" w:color="CCCCCC" w:sz="1"/>
              <w:right w:val="single" w:color="CCCCCC" w:sz="1"/>
            </w:tcBorders>
          </w:tcPr>
          <w:p>
            <w:r>
              <w:t xml:space="preserve">10K</w:t>
            </w:r>
          </w:p>
        </w:tc>
      </w:tr>
      <w:tr>
        <w:tc>
          <w:tcPr>
            <w:tcBorders>
              <w:top w:val="single" w:color="CCCCCC" w:sz="1"/>
              <w:left w:val="single" w:color="CCCCCC" w:sz="1"/>
              <w:bottom w:val="single" w:color="CCCCCC" w:sz="1"/>
              <w:right w:val="single" w:color="CCCCCC" w:sz="1"/>
            </w:tcBorders>
          </w:tcPr>
          <w:p>
            <w:r>
              <w:t xml:space="preserve">Transitivity</w:t>
            </w:r>
          </w:p>
        </w:tc>
        <w:tc>
          <w:tcPr>
            <w:tcBorders>
              <w:top w:val="single" w:color="CCCCCC" w:sz="1"/>
              <w:left w:val="single" w:color="CCCCCC" w:sz="1"/>
              <w:bottom w:val="single" w:color="CCCCCC" w:sz="1"/>
              <w:right w:val="single" w:color="CCCCCC" w:sz="1"/>
            </w:tcBorders>
          </w:tcPr>
          <w:p>
            <w:r>
              <w:t xml:space="preserve">500K</w:t>
            </w:r>
          </w:p>
        </w:tc>
        <w:tc>
          <w:tcPr>
            <w:tcBorders>
              <w:top w:val="single" w:color="CCCCCC" w:sz="1"/>
              <w:left w:val="single" w:color="CCCCCC" w:sz="1"/>
              <w:bottom w:val="single" w:color="CCCCCC" w:sz="1"/>
              <w:right w:val="single" w:color="CCCCCC" w:sz="1"/>
            </w:tcBorders>
          </w:tcPr>
          <w:p>
            <w:r>
              <w:t xml:space="preserve">50K</w:t>
            </w:r>
          </w:p>
        </w:tc>
        <w:tc>
          <w:tcPr>
            <w:tcBorders>
              <w:top w:val="single" w:color="CCCCCC" w:sz="1"/>
              <w:left w:val="single" w:color="CCCCCC" w:sz="1"/>
              <w:bottom w:val="single" w:color="CCCCCC" w:sz="1"/>
              <w:right w:val="single" w:color="CCCCCC" w:sz="1"/>
            </w:tcBorders>
          </w:tcPr>
          <w:p>
            <w:r>
              <w:t xml:space="preserve">50K</w:t>
            </w:r>
          </w:p>
        </w:tc>
      </w:tr>
      <w:tr>
        <w:tc>
          <w:tcPr>
            <w:tcBorders>
              <w:top w:val="single" w:color="CCCCCC" w:sz="1"/>
              <w:left w:val="single" w:color="CCCCCC" w:sz="1"/>
              <w:bottom w:val="single" w:color="CCCCCC" w:sz="1"/>
              <w:right w:val="single" w:color="CCCCCC" w:sz="1"/>
            </w:tcBorders>
          </w:tcPr>
          <w:p>
            <w:r>
              <w:t xml:space="preserve">Modus Ponens</w:t>
            </w:r>
          </w:p>
        </w:tc>
        <w:tc>
          <w:tcPr>
            <w:tcBorders>
              <w:top w:val="single" w:color="CCCCCC" w:sz="1"/>
              <w:left w:val="single" w:color="CCCCCC" w:sz="1"/>
              <w:bottom w:val="single" w:color="CCCCCC" w:sz="1"/>
              <w:right w:val="single" w:color="CCCCCC" w:sz="1"/>
            </w:tcBorders>
          </w:tcPr>
          <w:p>
            <w:r>
              <w:t xml:space="preserve">1M</w:t>
            </w:r>
          </w:p>
        </w:tc>
        <w:tc>
          <w:tcPr>
            <w:tcBorders>
              <w:top w:val="single" w:color="CCCCCC" w:sz="1"/>
              <w:left w:val="single" w:color="CCCCCC" w:sz="1"/>
              <w:bottom w:val="single" w:color="CCCCCC" w:sz="1"/>
              <w:right w:val="single" w:color="CCCCCC" w:sz="1"/>
            </w:tcBorders>
          </w:tcPr>
          <w:p>
            <w:r>
              <w:t xml:space="preserve">100K</w:t>
            </w:r>
          </w:p>
        </w:tc>
        <w:tc>
          <w:tcPr>
            <w:tcBorders>
              <w:top w:val="single" w:color="CCCCCC" w:sz="1"/>
              <w:left w:val="single" w:color="CCCCCC" w:sz="1"/>
              <w:bottom w:val="single" w:color="CCCCCC" w:sz="1"/>
              <w:right w:val="single" w:color="CCCCCC" w:sz="1"/>
            </w:tcBorders>
          </w:tcPr>
          <w:p>
            <w:r>
              <w:t xml:space="preserve">100K</w:t>
            </w:r>
          </w:p>
        </w:tc>
      </w:tr>
      <w:tr>
        <w:tc>
          <w:tcPr>
            <w:tcBorders>
              <w:top w:val="single" w:color="CCCCCC" w:sz="1"/>
              <w:left w:val="single" w:color="CCCCCC" w:sz="1"/>
              <w:bottom w:val="single" w:color="CCCCCC" w:sz="1"/>
              <w:right w:val="single" w:color="CCCCCC" w:sz="1"/>
            </w:tcBorders>
          </w:tcPr>
          <w:p>
            <w:r>
              <w:t xml:space="preserve">Multi-step</w:t>
            </w:r>
          </w:p>
        </w:tc>
        <w:tc>
          <w:tcPr>
            <w:tcBorders>
              <w:top w:val="single" w:color="CCCCCC" w:sz="1"/>
              <w:left w:val="single" w:color="CCCCCC" w:sz="1"/>
              <w:bottom w:val="single" w:color="CCCCCC" w:sz="1"/>
              <w:right w:val="single" w:color="CCCCCC" w:sz="1"/>
            </w:tcBorders>
          </w:tcPr>
          <w:p>
            <w:r>
              <w:t xml:space="preserve">2M</w:t>
            </w:r>
          </w:p>
        </w:tc>
        <w:tc>
          <w:tcPr>
            <w:tcBorders>
              <w:top w:val="single" w:color="CCCCCC" w:sz="1"/>
              <w:left w:val="single" w:color="CCCCCC" w:sz="1"/>
              <w:bottom w:val="single" w:color="CCCCCC" w:sz="1"/>
              <w:right w:val="single" w:color="CCCCCC" w:sz="1"/>
            </w:tcBorders>
          </w:tcPr>
          <w:p>
            <w:r>
              <w:t xml:space="preserve">200K</w:t>
            </w:r>
          </w:p>
        </w:tc>
        <w:tc>
          <w:tcPr>
            <w:tcBorders>
              <w:top w:val="single" w:color="CCCCCC" w:sz="1"/>
              <w:left w:val="single" w:color="CCCCCC" w:sz="1"/>
              <w:bottom w:val="single" w:color="CCCCCC" w:sz="1"/>
              <w:right w:val="single" w:color="CCCCCC" w:sz="1"/>
            </w:tcBorders>
          </w:tcPr>
          <w:p>
            <w:r>
              <w:t xml:space="preserve">200K</w:t>
            </w:r>
          </w:p>
        </w:tc>
      </w:tr>
    </w:tbl>
    <w:p>
      <w:pPr>
        <w:spacing w:before="200" w:after="200"/>
      </w:pPr>
      <w:r>
        <w:rPr>
          <w:b/>
          <w:bCs/>
        </w:rPr>
        <w:t xml:space="preserve">Rationale: </w:t>
      </w:r>
      <w:r>
        <w:t xml:space="preserve">Dataset sizes scale with task complexity. Earlier finding that data quality &gt; model size in the low-parameter regime suggests investing in diverse, high-quality samples rather than raw volume.</w:t>
      </w:r>
    </w:p>
    <w:p>
      <w:r>
        <w:br w:type="page"/>
      </w:r>
    </w:p>
    <w:p>
      <w:pPr>
        <w:pStyle w:val="Heading1"/>
      </w:pPr>
      <w:r>
        <w:t xml:space="preserve">6. Model Training Strategy</w:t>
      </w:r>
    </w:p>
    <w:p>
      <w:pPr>
        <w:pStyle w:val="Heading2"/>
      </w:pPr>
      <w:r>
        <w:t xml:space="preserve">6.1 Training Approaches</w:t>
      </w:r>
    </w:p>
    <w:p>
      <w:pPr>
        <w:spacing w:after="100"/>
      </w:pPr>
      <w:r>
        <w:t xml:space="preserve">Two training approaches will be evaluated:</w:t>
      </w:r>
    </w:p>
    <w:p>
      <w:pPr>
        <w:spacing w:after="100"/>
      </w:pPr>
      <w:r>
        <w:rPr>
          <w:b/>
          <w:bCs/>
        </w:rPr>
        <w:t xml:space="preserve">Approach A: From Scratch</w:t>
      </w:r>
    </w:p>
    <w:p>
      <w:pPr>
        <w:pStyle w:val="ListParagraph"/>
        <w:numPr>
          <w:ilvl w:val="0"/>
          <w:numId w:val="2"/>
        </w:numPr>
      </w:pPr>
      <w:r>
        <w:t xml:space="preserve">Train new model on reasoning data only</w:t>
      </w:r>
    </w:p>
    <w:p>
      <w:pPr>
        <w:pStyle w:val="ListParagraph"/>
        <w:numPr>
          <w:ilvl w:val="0"/>
          <w:numId w:val="2"/>
        </w:numPr>
      </w:pPr>
      <w:r>
        <w:t xml:space="preserve">Simpler, cleaner experiment</w:t>
      </w:r>
    </w:p>
    <w:p>
      <w:pPr>
        <w:pStyle w:val="ListParagraph"/>
        <w:numPr>
          <w:ilvl w:val="0"/>
          <w:numId w:val="2"/>
        </w:numPr>
        <w:spacing w:after="200"/>
      </w:pPr>
      <w:r>
        <w:t xml:space="preserve">Establishes baseline for reasoning-only performance</w:t>
      </w:r>
    </w:p>
    <w:p>
      <w:pPr>
        <w:spacing w:after="100"/>
      </w:pPr>
      <w:r>
        <w:rPr>
          <w:b/>
          <w:bCs/>
        </w:rPr>
        <w:t xml:space="preserve">Approach B: Curriculum Learning (Recommended)</w:t>
      </w:r>
    </w:p>
    <w:p>
      <w:pPr>
        <w:pStyle w:val="ListParagraph"/>
        <w:numPr>
          <w:ilvl w:val="0"/>
          <w:numId w:val="2"/>
        </w:numPr>
      </w:pPr>
      <w:r>
        <w:t xml:space="preserve">Phase 1: Pre-train on syntax task (existing capability)</w:t>
      </w:r>
    </w:p>
    <w:p>
      <w:pPr>
        <w:pStyle w:val="ListParagraph"/>
        <w:numPr>
          <w:ilvl w:val="0"/>
          <w:numId w:val="2"/>
        </w:numPr>
      </w:pPr>
      <w:r>
        <w:t xml:space="preserve">Phase 2: Fine-tune on Stage 1 (equality)</w:t>
      </w:r>
    </w:p>
    <w:p>
      <w:pPr>
        <w:pStyle w:val="ListParagraph"/>
        <w:numPr>
          <w:ilvl w:val="0"/>
          <w:numId w:val="2"/>
        </w:numPr>
      </w:pPr>
      <w:r>
        <w:t xml:space="preserve">Phase 3: Fine-tune on Stage 2 (transitivity)</w:t>
      </w:r>
    </w:p>
    <w:p>
      <w:pPr>
        <w:pStyle w:val="ListParagraph"/>
        <w:numPr>
          <w:ilvl w:val="0"/>
          <w:numId w:val="2"/>
        </w:numPr>
        <w:spacing w:after="200"/>
      </w:pPr>
      <w:r>
        <w:t xml:space="preserve">Continue progression through stages</w:t>
      </w:r>
    </w:p>
    <w:p>
      <w:pPr>
        <w:spacing w:after="200"/>
      </w:pPr>
      <w:r>
        <w:rPr>
          <w:b/>
          <w:bCs/>
        </w:rPr>
        <w:t xml:space="preserve">Hypothesis: </w:t>
      </w:r>
      <w:r>
        <w:t xml:space="preserve">Curriculum learning will outperform from-scratch because syntactic knowledge provides useful priors for reasoning. The model already "knows" what variables and predicates are; it just needs to learn inference rules.</w:t>
      </w:r>
    </w:p>
    <w:p>
      <w:pPr>
        <w:pStyle w:val="Heading2"/>
      </w:pPr>
      <w:r>
        <w:t xml:space="preserve">6.2 Training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f4f8" w:val="0"/>
          </w:tcPr>
          <w:p>
            <w:r>
              <w:rPr>
                <w:b/>
                <w:bCs/>
              </w:rPr>
              <w:t xml:space="preserve">Parameter</w:t>
            </w:r>
          </w:p>
        </w:tc>
        <w:tc>
          <w:tcPr>
            <w:tcW w:type="dxa" w:w="3120"/>
            <w:tcBorders>
              <w:top w:val="single" w:color="CCCCCC" w:sz="1"/>
              <w:left w:val="single" w:color="CCCCCC" w:sz="1"/>
              <w:bottom w:val="single" w:color="CCCCCC" w:sz="1"/>
              <w:right w:val="single" w:color="CCCCCC" w:sz="1"/>
            </w:tcBorders>
            <w:shd w:fill="e8f4f8" w:val="0"/>
          </w:tcPr>
          <w:p>
            <w:r>
              <w:rPr>
                <w:b/>
                <w:bCs/>
              </w:rPr>
              <w:t xml:space="preserve">Stage 1-2</w:t>
            </w:r>
          </w:p>
        </w:tc>
        <w:tc>
          <w:tcPr>
            <w:tcW w:type="dxa" w:w="3120"/>
            <w:tcBorders>
              <w:top w:val="single" w:color="CCCCCC" w:sz="1"/>
              <w:left w:val="single" w:color="CCCCCC" w:sz="1"/>
              <w:bottom w:val="single" w:color="CCCCCC" w:sz="1"/>
              <w:right w:val="single" w:color="CCCCCC" w:sz="1"/>
            </w:tcBorders>
            <w:shd w:fill="e8f4f8" w:val="0"/>
          </w:tcPr>
          <w:p>
            <w:r>
              <w:rPr>
                <w:b/>
                <w:bCs/>
              </w:rPr>
              <w:t xml:space="preserve">Stage 3-4</w:t>
            </w:r>
          </w:p>
        </w:tc>
      </w:tr>
      <w:tr>
        <w:tc>
          <w:tcPr>
            <w:tcBorders>
              <w:top w:val="single" w:color="CCCCCC" w:sz="1"/>
              <w:left w:val="single" w:color="CCCCCC" w:sz="1"/>
              <w:bottom w:val="single" w:color="CCCCCC" w:sz="1"/>
              <w:right w:val="single" w:color="CCCCCC" w:sz="1"/>
            </w:tcBorders>
          </w:tcPr>
          <w:p>
            <w:r>
              <w:t xml:space="preserve">Model size</w:t>
            </w:r>
          </w:p>
        </w:tc>
        <w:tc>
          <w:tcPr>
            <w:tcBorders>
              <w:top w:val="single" w:color="CCCCCC" w:sz="1"/>
              <w:left w:val="single" w:color="CCCCCC" w:sz="1"/>
              <w:bottom w:val="single" w:color="CCCCCC" w:sz="1"/>
              <w:right w:val="single" w:color="CCCCCC" w:sz="1"/>
            </w:tcBorders>
          </w:tcPr>
          <w:p>
            <w:r>
              <w:t xml:space="preserve">Tiny (566K)</w:t>
            </w:r>
          </w:p>
        </w:tc>
        <w:tc>
          <w:tcPr>
            <w:tcBorders>
              <w:top w:val="single" w:color="CCCCCC" w:sz="1"/>
              <w:left w:val="single" w:color="CCCCCC" w:sz="1"/>
              <w:bottom w:val="single" w:color="CCCCCC" w:sz="1"/>
              <w:right w:val="single" w:color="CCCCCC" w:sz="1"/>
            </w:tcBorders>
          </w:tcPr>
          <w:p>
            <w:r>
              <w:t xml:space="preserve">Small (2M)</w:t>
            </w:r>
          </w:p>
        </w:tc>
      </w:tr>
      <w:tr>
        <w:tc>
          <w:tcPr>
            <w:tcBorders>
              <w:top w:val="single" w:color="CCCCCC" w:sz="1"/>
              <w:left w:val="single" w:color="CCCCCC" w:sz="1"/>
              <w:bottom w:val="single" w:color="CCCCCC" w:sz="1"/>
              <w:right w:val="single" w:color="CCCCCC" w:sz="1"/>
            </w:tcBorders>
          </w:tcPr>
          <w:p>
            <w:r>
              <w:t xml:space="preserve">Batch size</w:t>
            </w:r>
          </w:p>
        </w:tc>
        <w:tc>
          <w:tcPr>
            <w:tcBorders>
              <w:top w:val="single" w:color="CCCCCC" w:sz="1"/>
              <w:left w:val="single" w:color="CCCCCC" w:sz="1"/>
              <w:bottom w:val="single" w:color="CCCCCC" w:sz="1"/>
              <w:right w:val="single" w:color="CCCCCC" w:sz="1"/>
            </w:tcBorders>
          </w:tcPr>
          <w:p>
            <w:r>
              <w:t xml:space="preserve">64</w:t>
            </w:r>
          </w:p>
        </w:tc>
        <w:tc>
          <w:tcPr>
            <w:tcBorders>
              <w:top w:val="single" w:color="CCCCCC" w:sz="1"/>
              <w:left w:val="single" w:color="CCCCCC" w:sz="1"/>
              <w:bottom w:val="single" w:color="CCCCCC" w:sz="1"/>
              <w:right w:val="single" w:color="CCCCCC" w:sz="1"/>
            </w:tcBorders>
          </w:tcPr>
          <w:p>
            <w:r>
              <w:t xml:space="preserve">32</w:t>
            </w:r>
          </w:p>
        </w:tc>
      </w:tr>
      <w:tr>
        <w:tc>
          <w:tcPr>
            <w:tcBorders>
              <w:top w:val="single" w:color="CCCCCC" w:sz="1"/>
              <w:left w:val="single" w:color="CCCCCC" w:sz="1"/>
              <w:bottom w:val="single" w:color="CCCCCC" w:sz="1"/>
              <w:right w:val="single" w:color="CCCCCC" w:sz="1"/>
            </w:tcBorders>
          </w:tcPr>
          <w:p>
            <w:r>
              <w:t xml:space="preserve">Learning rate</w:t>
            </w:r>
          </w:p>
        </w:tc>
        <w:tc>
          <w:tcPr>
            <w:tcBorders>
              <w:top w:val="single" w:color="CCCCCC" w:sz="1"/>
              <w:left w:val="single" w:color="CCCCCC" w:sz="1"/>
              <w:bottom w:val="single" w:color="CCCCCC" w:sz="1"/>
              <w:right w:val="single" w:color="CCCCCC" w:sz="1"/>
            </w:tcBorders>
          </w:tcPr>
          <w:p>
            <w:r>
              <w:t xml:space="preserve">1e-4</w:t>
            </w:r>
          </w:p>
        </w:tc>
        <w:tc>
          <w:tcPr>
            <w:tcBorders>
              <w:top w:val="single" w:color="CCCCCC" w:sz="1"/>
              <w:left w:val="single" w:color="CCCCCC" w:sz="1"/>
              <w:bottom w:val="single" w:color="CCCCCC" w:sz="1"/>
              <w:right w:val="single" w:color="CCCCCC" w:sz="1"/>
            </w:tcBorders>
          </w:tcPr>
          <w:p>
            <w:r>
              <w:t xml:space="preserve">5e-5</w:t>
            </w:r>
          </w:p>
        </w:tc>
      </w:tr>
      <w:tr>
        <w:tc>
          <w:tcPr>
            <w:tcBorders>
              <w:top w:val="single" w:color="CCCCCC" w:sz="1"/>
              <w:left w:val="single" w:color="CCCCCC" w:sz="1"/>
              <w:bottom w:val="single" w:color="CCCCCC" w:sz="1"/>
              <w:right w:val="single" w:color="CCCCCC" w:sz="1"/>
            </w:tcBorders>
          </w:tcPr>
          <w:p>
            <w:r>
              <w:t xml:space="preserve">Warmup steps</w:t>
            </w:r>
          </w:p>
        </w:tc>
        <w:tc>
          <w:tcPr>
            <w:tcBorders>
              <w:top w:val="single" w:color="CCCCCC" w:sz="1"/>
              <w:left w:val="single" w:color="CCCCCC" w:sz="1"/>
              <w:bottom w:val="single" w:color="CCCCCC" w:sz="1"/>
              <w:right w:val="single" w:color="CCCCCC" w:sz="1"/>
            </w:tcBorders>
          </w:tcPr>
          <w:p>
            <w:r>
              <w:t xml:space="preserve">1000</w:t>
            </w:r>
          </w:p>
        </w:tc>
        <w:tc>
          <w:tcPr>
            <w:tcBorders>
              <w:top w:val="single" w:color="CCCCCC" w:sz="1"/>
              <w:left w:val="single" w:color="CCCCCC" w:sz="1"/>
              <w:bottom w:val="single" w:color="CCCCCC" w:sz="1"/>
              <w:right w:val="single" w:color="CCCCCC" w:sz="1"/>
            </w:tcBorders>
          </w:tcPr>
          <w:p>
            <w:r>
              <w:t xml:space="preserve">2000</w:t>
            </w:r>
          </w:p>
        </w:tc>
      </w:tr>
      <w:tr>
        <w:tc>
          <w:tcPr>
            <w:tcBorders>
              <w:top w:val="single" w:color="CCCCCC" w:sz="1"/>
              <w:left w:val="single" w:color="CCCCCC" w:sz="1"/>
              <w:bottom w:val="single" w:color="CCCCCC" w:sz="1"/>
              <w:right w:val="single" w:color="CCCCCC" w:sz="1"/>
            </w:tcBorders>
          </w:tcPr>
          <w:p>
            <w:r>
              <w:t xml:space="preserve">Epochs</w:t>
            </w:r>
          </w:p>
        </w:tc>
        <w:tc>
          <w:tcPr>
            <w:tcBorders>
              <w:top w:val="single" w:color="CCCCCC" w:sz="1"/>
              <w:left w:val="single" w:color="CCCCCC" w:sz="1"/>
              <w:bottom w:val="single" w:color="CCCCCC" w:sz="1"/>
              <w:right w:val="single" w:color="CCCCCC" w:sz="1"/>
            </w:tcBorders>
          </w:tcPr>
          <w:p>
            <w:r>
              <w:t xml:space="preserve">50</w:t>
            </w:r>
          </w:p>
        </w:tc>
        <w:tc>
          <w:tcPr>
            <w:tcBorders>
              <w:top w:val="single" w:color="CCCCCC" w:sz="1"/>
              <w:left w:val="single" w:color="CCCCCC" w:sz="1"/>
              <w:bottom w:val="single" w:color="CCCCCC" w:sz="1"/>
              <w:right w:val="single" w:color="CCCCCC" w:sz="1"/>
            </w:tcBorders>
          </w:tcPr>
          <w:p>
            <w:r>
              <w:t xml:space="preserve">100</w:t>
            </w:r>
          </w:p>
        </w:tc>
      </w:tr>
    </w:tbl>
    <w:p>
      <w:pPr>
        <w:pStyle w:val="Heading2"/>
        <w:spacing w:before="300"/>
      </w:pPr>
      <w:r>
        <w:t xml:space="preserve">6.3 Loss Function</w:t>
      </w:r>
    </w:p>
    <w:p>
      <w:pPr>
        <w:spacing w:after="200"/>
      </w:pPr>
      <w:r>
        <w:t xml:space="preserve">Standard cross-entropy loss on answer tokens only. Premise and query tokens are provided as context but not included in loss computation. This focuses learning on the inference task rather than syntax reproduction.</w:t>
      </w:r>
    </w:p>
    <w:p>
      <w:pPr>
        <w:pStyle w:val="CodeBlock"/>
        <w:spacing w:after="200"/>
      </w:pPr>
      <w:r>
        <w:t xml:space="preserve">loss = CrossEntropyLoss(logits[answer_start:], targets[answer_start:])</w:t>
      </w:r>
    </w:p>
    <w:p>
      <w:pPr>
        <w:pStyle w:val="Heading1"/>
      </w:pPr>
      <w:r>
        <w:t xml:space="preserve">7. Evaluation Framework</w:t>
      </w:r>
    </w:p>
    <w:p>
      <w:pPr>
        <w:pStyle w:val="Heading2"/>
      </w:pPr>
      <w:r>
        <w:t xml:space="preserve">7.1 Metrics</w:t>
      </w:r>
    </w:p>
    <w:p>
      <w:pPr>
        <w:spacing w:after="100"/>
      </w:pPr>
      <w:r>
        <w:rPr>
          <w:b/>
          <w:bCs/>
        </w:rPr>
        <w:t xml:space="preserve">Primary Metrics:</w:t>
      </w:r>
    </w:p>
    <w:p>
      <w:pPr>
        <w:pStyle w:val="ListParagraph"/>
        <w:numPr>
          <w:ilvl w:val="0"/>
          <w:numId w:val="2"/>
        </w:numPr>
      </w:pPr>
      <w:r>
        <w:rPr>
          <w:b/>
          <w:bCs/>
        </w:rPr>
        <w:t xml:space="preserve">Exact Match Accuracy: </w:t>
      </w:r>
      <w:r>
        <w:t xml:space="preserve">Full answer sequence matches ground truth</w:t>
      </w:r>
    </w:p>
    <w:p>
      <w:pPr>
        <w:pStyle w:val="ListParagraph"/>
        <w:numPr>
          <w:ilvl w:val="0"/>
          <w:numId w:val="2"/>
        </w:numPr>
      </w:pPr>
      <w:r>
        <w:rPr>
          <w:b/>
          <w:bCs/>
        </w:rPr>
        <w:t xml:space="preserve">Token-level Accuracy: </w:t>
      </w:r>
      <w:r>
        <w:t xml:space="preserve">Percentage of correctly predicted answer tokens</w:t>
      </w:r>
    </w:p>
    <w:p>
      <w:pPr>
        <w:pStyle w:val="ListParagraph"/>
        <w:numPr>
          <w:ilvl w:val="0"/>
          <w:numId w:val="2"/>
        </w:numPr>
        <w:spacing w:after="200"/>
      </w:pPr>
      <w:r>
        <w:rPr>
          <w:b/>
          <w:bCs/>
        </w:rPr>
        <w:t xml:space="preserve">Inference Validity: </w:t>
      </w:r>
      <w:r>
        <w:t xml:space="preserve">Is the generated conclusion logically valid given premises?</w:t>
      </w:r>
    </w:p>
    <w:p>
      <w:pPr>
        <w:spacing w:after="100"/>
      </w:pPr>
      <w:r>
        <w:rPr>
          <w:b/>
          <w:bCs/>
        </w:rPr>
        <w:t xml:space="preserve">Generalisation Metrics:</w:t>
      </w:r>
    </w:p>
    <w:p>
      <w:pPr>
        <w:pStyle w:val="ListParagraph"/>
        <w:numPr>
          <w:ilvl w:val="0"/>
          <w:numId w:val="2"/>
        </w:numPr>
      </w:pPr>
      <w:r>
        <w:rPr>
          <w:b/>
          <w:bCs/>
        </w:rPr>
        <w:t xml:space="preserve">Chain Length Generalisation: </w:t>
      </w:r>
      <w:r>
        <w:t xml:space="preserve">Performance on longer chains than seen in training</w:t>
      </w:r>
    </w:p>
    <w:p>
      <w:pPr>
        <w:pStyle w:val="ListParagraph"/>
        <w:numPr>
          <w:ilvl w:val="0"/>
          <w:numId w:val="2"/>
        </w:numPr>
      </w:pPr>
      <w:r>
        <w:rPr>
          <w:b/>
          <w:bCs/>
        </w:rPr>
        <w:t xml:space="preserve">Variable Index Generalisation: </w:t>
      </w:r>
      <w:r>
        <w:t xml:space="preserve">Performance on larger variable indices (compositional test)</w:t>
      </w:r>
    </w:p>
    <w:p>
      <w:pPr>
        <w:pStyle w:val="ListParagraph"/>
        <w:numPr>
          <w:ilvl w:val="0"/>
          <w:numId w:val="2"/>
        </w:numPr>
        <w:spacing w:after="200"/>
      </w:pPr>
      <w:r>
        <w:rPr>
          <w:b/>
          <w:bCs/>
        </w:rPr>
        <w:t xml:space="preserve">Cross-Stage Transfer: </w:t>
      </w:r>
      <w:r>
        <w:t xml:space="preserve">Does Stage 2 training improve Stage 3 learning?</w:t>
      </w:r>
    </w:p>
    <w:p>
      <w:pPr>
        <w:pStyle w:val="Heading2"/>
      </w:pPr>
      <w:r>
        <w:t xml:space="preserve">7.2 Baseline Comparisons</w:t>
      </w:r>
    </w:p>
    <w:p>
      <w:pPr>
        <w:pStyle w:val="ListParagraph"/>
        <w:numPr>
          <w:ilvl w:val="0"/>
          <w:numId w:val="2"/>
        </w:numPr>
      </w:pPr>
      <w:r>
        <w:rPr>
          <w:b/>
          <w:bCs/>
        </w:rPr>
        <w:t xml:space="preserve">Random: </w:t>
      </w:r>
      <w:r>
        <w:t xml:space="preserve">Uniform sampling from valid answer tokens</w:t>
      </w:r>
    </w:p>
    <w:p>
      <w:pPr>
        <w:pStyle w:val="ListParagraph"/>
        <w:numPr>
          <w:ilvl w:val="0"/>
          <w:numId w:val="2"/>
        </w:numPr>
      </w:pPr>
      <w:r>
        <w:rPr>
          <w:b/>
          <w:bCs/>
        </w:rPr>
        <w:t xml:space="preserve">Majority Class: </w:t>
      </w:r>
      <w:r>
        <w:t xml:space="preserve">Most common answer in training set</w:t>
      </w:r>
    </w:p>
    <w:p>
      <w:pPr>
        <w:pStyle w:val="ListParagraph"/>
        <w:numPr>
          <w:ilvl w:val="0"/>
          <w:numId w:val="2"/>
        </w:numPr>
      </w:pPr>
      <w:r>
        <w:rPr>
          <w:b/>
          <w:bCs/>
        </w:rPr>
        <w:t xml:space="preserve">Pattern Matching: </w:t>
      </w:r>
      <w:r>
        <w:t xml:space="preserve">Simple heuristic (copy last variable in chain)</w:t>
      </w:r>
    </w:p>
    <w:p>
      <w:pPr>
        <w:pStyle w:val="ListParagraph"/>
        <w:numPr>
          <w:ilvl w:val="0"/>
          <w:numId w:val="2"/>
        </w:numPr>
        <w:spacing w:after="200"/>
      </w:pPr>
      <w:r>
        <w:rPr>
          <w:b/>
          <w:bCs/>
        </w:rPr>
        <w:t xml:space="preserve">Symbolic Solver: </w:t>
      </w:r>
      <w:r>
        <w:t xml:space="preserve">Upper bound from deterministic logic engine</w:t>
      </w:r>
    </w:p>
    <w:p>
      <w:pPr>
        <w:pStyle w:val="Heading2"/>
      </w:pPr>
      <w:r>
        <w:t xml:space="preserve">7.3 Ablation Studies</w:t>
      </w:r>
    </w:p>
    <w:p>
      <w:pPr>
        <w:pStyle w:val="ListParagraph"/>
        <w:numPr>
          <w:ilvl w:val="0"/>
          <w:numId w:val="2"/>
        </w:numPr>
      </w:pPr>
      <w:r>
        <w:t xml:space="preserve">Effect of model size (tiny vs small vs base)</w:t>
      </w:r>
    </w:p>
    <w:p>
      <w:pPr>
        <w:pStyle w:val="ListParagraph"/>
        <w:numPr>
          <w:ilvl w:val="0"/>
          <w:numId w:val="2"/>
        </w:numPr>
      </w:pPr>
      <w:r>
        <w:t xml:space="preserve">Effect of pre-training (curriculum vs from-scratch)</w:t>
      </w:r>
    </w:p>
    <w:p>
      <w:pPr>
        <w:pStyle w:val="ListParagraph"/>
        <w:numPr>
          <w:ilvl w:val="0"/>
          <w:numId w:val="2"/>
        </w:numPr>
      </w:pPr>
      <w:r>
        <w:t xml:space="preserve">Effect of data quantity (learning curves)</w:t>
      </w:r>
    </w:p>
    <w:p>
      <w:pPr>
        <w:pStyle w:val="ListParagraph"/>
        <w:numPr>
          <w:ilvl w:val="0"/>
          <w:numId w:val="2"/>
        </w:numPr>
        <w:spacing w:after="200"/>
      </w:pPr>
      <w:r>
        <w:t xml:space="preserve">Effect of chain length distribution in training</w:t>
      </w:r>
    </w:p>
    <w:p>
      <w:r>
        <w:br w:type="page"/>
      </w:r>
    </w:p>
    <w:p>
      <w:pPr>
        <w:pStyle w:val="Heading1"/>
      </w:pPr>
      <w:r>
        <w:t xml:space="preserve">8. Implementation Plan</w:t>
      </w:r>
    </w:p>
    <w:p>
      <w:pPr>
        <w:pStyle w:val="Heading2"/>
      </w:pPr>
      <w:r>
        <w:t xml:space="preserve">8.1 Phase 1: Foundation (Weeks 1-2)</w:t>
      </w:r>
    </w:p>
    <w:p>
      <w:pPr>
        <w:pStyle w:val="ListParagraph"/>
        <w:numPr>
          <w:ilvl w:val="0"/>
          <w:numId w:val="5"/>
        </w:numPr>
      </w:pPr>
      <w:r>
        <w:t xml:space="preserve">Extend vocabulary.py with new token definitions</w:t>
      </w:r>
    </w:p>
    <w:p>
      <w:pPr>
        <w:pStyle w:val="ListParagraph"/>
        <w:numPr>
          <w:ilvl w:val="0"/>
          <w:numId w:val="5"/>
        </w:numPr>
      </w:pPr>
      <w:r>
        <w:t xml:space="preserve">Implement EqualitySubstitutionGenerator</w:t>
      </w:r>
    </w:p>
    <w:p>
      <w:pPr>
        <w:pStyle w:val="ListParagraph"/>
        <w:numPr>
          <w:ilvl w:val="0"/>
          <w:numId w:val="5"/>
        </w:numPr>
      </w:pPr>
      <w:r>
        <w:t xml:space="preserve">Create reasoning_dataset.py for new data format</w:t>
      </w:r>
    </w:p>
    <w:p>
      <w:pPr>
        <w:pStyle w:val="ListParagraph"/>
        <w:numPr>
          <w:ilvl w:val="0"/>
          <w:numId w:val="5"/>
        </w:numPr>
      </w:pPr>
      <w:r>
        <w:t xml:space="preserve">Update train.py for answer-only loss computation</w:t>
      </w:r>
    </w:p>
    <w:p>
      <w:pPr>
        <w:pStyle w:val="ListParagraph"/>
        <w:numPr>
          <w:ilvl w:val="0"/>
          <w:numId w:val="5"/>
        </w:numPr>
        <w:spacing w:after="200"/>
      </w:pPr>
      <w:r>
        <w:t xml:space="preserve">Train and validate Stage 1 model</w:t>
      </w:r>
    </w:p>
    <w:p>
      <w:pPr>
        <w:pStyle w:val="Heading2"/>
      </w:pPr>
      <w:r>
        <w:t xml:space="preserve">8.2 Phase 2: Transitivity (Weeks 3-4)</w:t>
      </w:r>
    </w:p>
    <w:p>
      <w:pPr>
        <w:pStyle w:val="ListParagraph"/>
        <w:numPr>
          <w:ilvl w:val="0"/>
          <w:numId w:val="5"/>
        </w:numPr>
      </w:pPr>
      <w:r>
        <w:t xml:space="preserve">Implement TransitivityGenerator with configurable chain lengths</w:t>
      </w:r>
    </w:p>
    <w:p>
      <w:pPr>
        <w:pStyle w:val="ListParagraph"/>
        <w:numPr>
          <w:ilvl w:val="0"/>
          <w:numId w:val="5"/>
        </w:numPr>
      </w:pPr>
      <w:r>
        <w:t xml:space="preserve">Create test sets with OOD chain lengths</w:t>
      </w:r>
    </w:p>
    <w:p>
      <w:pPr>
        <w:pStyle w:val="ListParagraph"/>
        <w:numPr>
          <w:ilvl w:val="0"/>
          <w:numId w:val="5"/>
        </w:numPr>
      </w:pPr>
      <w:r>
        <w:t xml:space="preserve">Train Stage 2 model with curriculum from Stage 1</w:t>
      </w:r>
    </w:p>
    <w:p>
      <w:pPr>
        <w:pStyle w:val="ListParagraph"/>
        <w:numPr>
          <w:ilvl w:val="0"/>
          <w:numId w:val="5"/>
        </w:numPr>
      </w:pPr>
      <w:r>
        <w:t xml:space="preserve">Evaluate generalisation to longer chains</w:t>
      </w:r>
    </w:p>
    <w:p>
      <w:pPr>
        <w:pStyle w:val="ListParagraph"/>
        <w:numPr>
          <w:ilvl w:val="0"/>
          <w:numId w:val="5"/>
        </w:numPr>
        <w:spacing w:after="200"/>
      </w:pPr>
      <w:r>
        <w:t xml:space="preserve">Compare curriculum vs from-scratch training</w:t>
      </w:r>
    </w:p>
    <w:p>
      <w:pPr>
        <w:pStyle w:val="Heading2"/>
      </w:pPr>
      <w:r>
        <w:t xml:space="preserve">8.3 Phase 3: Modus Ponens (Weeks 5-7)</w:t>
      </w:r>
    </w:p>
    <w:p>
      <w:pPr>
        <w:pStyle w:val="ListParagraph"/>
        <w:numPr>
          <w:ilvl w:val="0"/>
          <w:numId w:val="5"/>
        </w:numPr>
      </w:pPr>
      <w:r>
        <w:t xml:space="preserve">Implement ModusPonensGenerator</w:t>
      </w:r>
    </w:p>
    <w:p>
      <w:pPr>
        <w:pStyle w:val="ListParagraph"/>
        <w:numPr>
          <w:ilvl w:val="0"/>
          <w:numId w:val="5"/>
        </w:numPr>
      </w:pPr>
      <w:r>
        <w:t xml:space="preserve">Evaluate tiny model capacity; scale to small if needed</w:t>
      </w:r>
    </w:p>
    <w:p>
      <w:pPr>
        <w:pStyle w:val="ListParagraph"/>
        <w:numPr>
          <w:ilvl w:val="0"/>
          <w:numId w:val="5"/>
        </w:numPr>
      </w:pPr>
      <w:r>
        <w:t xml:space="preserve">Implement encoder-decoder variant if required</w:t>
      </w:r>
    </w:p>
    <w:p>
      <w:pPr>
        <w:pStyle w:val="ListParagraph"/>
        <w:numPr>
          <w:ilvl w:val="0"/>
          <w:numId w:val="5"/>
        </w:numPr>
      </w:pPr>
      <w:r>
        <w:t xml:space="preserve">Train and evaluate variable unification capability</w:t>
      </w:r>
    </w:p>
    <w:p>
      <w:pPr>
        <w:pStyle w:val="ListParagraph"/>
        <w:numPr>
          <w:ilvl w:val="0"/>
          <w:numId w:val="5"/>
        </w:numPr>
        <w:spacing w:after="200"/>
      </w:pPr>
      <w:r>
        <w:t xml:space="preserve">Analyse attention patterns for interpretability</w:t>
      </w:r>
    </w:p>
    <w:p>
      <w:pPr>
        <w:pStyle w:val="Heading2"/>
      </w:pPr>
      <w:r>
        <w:t xml:space="preserve">8.4 Phase 4: Integration (Weeks 8-10)</w:t>
      </w:r>
    </w:p>
    <w:p>
      <w:pPr>
        <w:pStyle w:val="ListParagraph"/>
        <w:numPr>
          <w:ilvl w:val="0"/>
          <w:numId w:val="5"/>
        </w:numPr>
      </w:pPr>
      <w:r>
        <w:t xml:space="preserve">Implement MultiStepGenerator combining inference types</w:t>
      </w:r>
    </w:p>
    <w:p>
      <w:pPr>
        <w:pStyle w:val="ListParagraph"/>
        <w:numPr>
          <w:ilvl w:val="0"/>
          <w:numId w:val="5"/>
        </w:numPr>
      </w:pPr>
      <w:r>
        <w:t xml:space="preserve">Create combined evaluation suite</w:t>
      </w:r>
    </w:p>
    <w:p>
      <w:pPr>
        <w:pStyle w:val="ListParagraph"/>
        <w:numPr>
          <w:ilvl w:val="0"/>
          <w:numId w:val="5"/>
        </w:numPr>
      </w:pPr>
      <w:r>
        <w:t xml:space="preserve">Run comprehensive ablation studies</w:t>
      </w:r>
    </w:p>
    <w:p>
      <w:pPr>
        <w:pStyle w:val="ListParagraph"/>
        <w:numPr>
          <w:ilvl w:val="0"/>
          <w:numId w:val="5"/>
        </w:numPr>
      </w:pPr>
      <w:r>
        <w:t xml:space="preserve">Prepare interactive demo (web UI for inference)</w:t>
      </w:r>
    </w:p>
    <w:p>
      <w:pPr>
        <w:pStyle w:val="ListParagraph"/>
        <w:numPr>
          <w:ilvl w:val="0"/>
          <w:numId w:val="5"/>
        </w:numPr>
        <w:spacing w:after="200"/>
      </w:pPr>
      <w:r>
        <w:t xml:space="preserve">Write paper/article on findings</w:t>
      </w:r>
    </w:p>
    <w:p>
      <w:pPr>
        <w:pStyle w:val="Heading1"/>
      </w:pPr>
      <w:r>
        <w:t xml:space="preserve">9. File Structure</w:t>
      </w:r>
    </w:p>
    <w:p>
      <w:pPr>
        <w:pStyle w:val="CodeBlock"/>
        <w:spacing w:after="100"/>
      </w:pPr>
      <w:r>
        <w:t xml:space="preserve">Symbolic-Transformers/</w:t>
      </w:r>
    </w:p>
    <w:p>
      <w:pPr>
        <w:pStyle w:val="CodeBlock"/>
        <w:spacing w:after="100"/>
      </w:pPr>
      <w:r>
        <w:t xml:space="preserve">├── data/</w:t>
      </w:r>
    </w:p>
    <w:p>
      <w:pPr>
        <w:pStyle w:val="CodeBlock"/>
        <w:spacing w:after="100"/>
      </w:pPr>
      <w:r>
        <w:t xml:space="preserve">│   ├── dataset_generator.py      # Existing syntax generator</w:t>
      </w:r>
    </w:p>
    <w:p>
      <w:pPr>
        <w:pStyle w:val="CodeBlock"/>
        <w:spacing w:after="100"/>
      </w:pPr>
      <w:r>
        <w:t xml:space="preserve">│   ├── reasoning_generator.py    # NEW: Base class for reasoning</w:t>
      </w:r>
    </w:p>
    <w:p>
      <w:pPr>
        <w:pStyle w:val="CodeBlock"/>
        <w:spacing w:after="100"/>
      </w:pPr>
      <w:r>
        <w:t xml:space="preserve">│   ├── equality_generator.py     # NEW: Stage 1</w:t>
      </w:r>
    </w:p>
    <w:p>
      <w:pPr>
        <w:pStyle w:val="CodeBlock"/>
        <w:spacing w:after="100"/>
      </w:pPr>
      <w:r>
        <w:t xml:space="preserve">│   ├── transitivity_generator.py # NEW: Stage 2</w:t>
      </w:r>
    </w:p>
    <w:p>
      <w:pPr>
        <w:pStyle w:val="CodeBlock"/>
        <w:spacing w:after="100"/>
      </w:pPr>
      <w:r>
        <w:t xml:space="preserve">│   ├── modus_ponens_generator.py # NEW: Stage 3</w:t>
      </w:r>
    </w:p>
    <w:p>
      <w:pPr>
        <w:pStyle w:val="CodeBlock"/>
        <w:spacing w:after="100"/>
      </w:pPr>
      <w:r>
        <w:t xml:space="preserve">│   └── multistep_generator.py    # NEW: Stage 4</w:t>
      </w:r>
    </w:p>
    <w:p>
      <w:pPr>
        <w:pStyle w:val="CodeBlock"/>
        <w:spacing w:after="100"/>
      </w:pPr>
      <w:r>
        <w:t xml:space="preserve">├── models/</w:t>
      </w:r>
    </w:p>
    <w:p>
      <w:pPr>
        <w:pStyle w:val="CodeBlock"/>
        <w:spacing w:after="100"/>
      </w:pPr>
      <w:r>
        <w:t xml:space="preserve">│   ├── transformer.py            # Extended for reasoning</w:t>
      </w:r>
    </w:p>
    <w:p>
      <w:pPr>
        <w:pStyle w:val="CodeBlock"/>
        <w:spacing w:after="100"/>
      </w:pPr>
      <w:r>
        <w:t xml:space="preserve">│   └── encoder_decoder.py        # NEW: For Stage 3-4</w:t>
      </w:r>
    </w:p>
    <w:p>
      <w:pPr>
        <w:pStyle w:val="CodeBlock"/>
        <w:spacing w:after="100"/>
      </w:pPr>
      <w:r>
        <w:t xml:space="preserve">├── training/</w:t>
      </w:r>
    </w:p>
    <w:p>
      <w:pPr>
        <w:pStyle w:val="CodeBlock"/>
        <w:spacing w:after="100"/>
      </w:pPr>
      <w:r>
        <w:t xml:space="preserve">│   ├── train.py                  # Extended for reasoning loss</w:t>
      </w:r>
    </w:p>
    <w:p>
      <w:pPr>
        <w:pStyle w:val="CodeBlock"/>
        <w:spacing w:after="100"/>
      </w:pPr>
      <w:r>
        <w:t xml:space="preserve">│   └── curriculum.py             # NEW: Staged training</w:t>
      </w:r>
    </w:p>
    <w:p>
      <w:pPr>
        <w:pStyle w:val="CodeBlock"/>
        <w:spacing w:after="100"/>
      </w:pPr>
      <w:r>
        <w:t xml:space="preserve">├── evaluation/</w:t>
      </w:r>
    </w:p>
    <w:p>
      <w:pPr>
        <w:pStyle w:val="CodeBlock"/>
        <w:spacing w:after="100"/>
      </w:pPr>
      <w:r>
        <w:t xml:space="preserve">│   ├── evaluate.py               # Extended for reasoning</w:t>
      </w:r>
    </w:p>
    <w:p>
      <w:pPr>
        <w:pStyle w:val="CodeBlock"/>
        <w:spacing w:after="100"/>
      </w:pPr>
      <w:r>
        <w:t xml:space="preserve">│   └── reasoning_metrics.py      # NEW: Specialised metrics</w:t>
      </w:r>
    </w:p>
    <w:p>
      <w:pPr>
        <w:pStyle w:val="CodeBlock"/>
        <w:spacing w:after="100"/>
      </w:pPr>
      <w:r>
        <w:t xml:space="preserve">├── utils/</w:t>
      </w:r>
    </w:p>
    <w:p>
      <w:pPr>
        <w:pStyle w:val="CodeBlock"/>
        <w:spacing w:after="100"/>
      </w:pPr>
      <w:r>
        <w:t xml:space="preserve">│   └── vocabulary.py             # Extended with new tokens</w:t>
      </w:r>
    </w:p>
    <w:p>
      <w:pPr>
        <w:pStyle w:val="CodeBlock"/>
        <w:spacing w:after="200"/>
      </w:pPr>
      <w:r>
        <w:t xml:space="preserve">└── unified_vocabulary.json       # Updated</w:t>
      </w:r>
    </w:p>
    <w:p>
      <w:pPr>
        <w:pStyle w:val="Heading1"/>
      </w:pPr>
      <w:r>
        <w:t xml:space="preserve">10. Risk Analysis</w:t>
      </w:r>
    </w:p>
    <w:p>
      <w:pPr>
        <w:pStyle w:val="ListParagraph"/>
        <w:numPr>
          <w:ilvl w:val="0"/>
          <w:numId w:val="6"/>
        </w:numPr>
      </w:pPr>
      <w:r>
        <w:rPr>
          <w:b/>
          <w:bCs/>
        </w:rPr>
        <w:t xml:space="preserve">Risk: Tiny model may lack capacity for Stage 3+</w:t>
      </w:r>
    </w:p>
    <w:p>
      <w:pPr>
        <w:pStyle w:val="ListParagraph"/>
        <w:numPr>
          <w:ilvl w:val="1"/>
          <w:numId w:val="2"/>
        </w:numPr>
      </w:pPr>
      <w:r>
        <w:rPr>
          <w:b/>
          <w:bCs/>
        </w:rPr>
        <w:t xml:space="preserve">Mitigation: </w:t>
      </w:r>
      <w:r>
        <w:t xml:space="preserve">Prepare small model configuration; validate at Stage 2</w:t>
      </w:r>
    </w:p>
    <w:p>
      <w:pPr>
        <w:pStyle w:val="ListParagraph"/>
        <w:numPr>
          <w:ilvl w:val="1"/>
          <w:numId w:val="2"/>
        </w:numPr>
        <w:spacing w:after="200"/>
      </w:pPr>
      <w:r>
        <w:rPr>
          <w:b/>
          <w:bCs/>
        </w:rPr>
        <w:t xml:space="preserve">Fallback: </w:t>
      </w:r>
      <w:r>
        <w:t xml:space="preserve">If tiny fails on Stage 3, document findings and proceed with small</w:t>
      </w:r>
    </w:p>
    <w:p>
      <w:pPr>
        <w:pStyle w:val="ListParagraph"/>
        <w:numPr>
          <w:ilvl w:val="0"/>
          <w:numId w:val="6"/>
        </w:numPr>
      </w:pPr>
      <w:r>
        <w:rPr>
          <w:b/>
          <w:bCs/>
        </w:rPr>
        <w:t xml:space="preserve">Risk: Model memorises patterns rather than learning rules</w:t>
      </w:r>
    </w:p>
    <w:p>
      <w:pPr>
        <w:pStyle w:val="ListParagraph"/>
        <w:numPr>
          <w:ilvl w:val="1"/>
          <w:numId w:val="2"/>
        </w:numPr>
      </w:pPr>
      <w:r>
        <w:rPr>
          <w:b/>
          <w:bCs/>
        </w:rPr>
        <w:t xml:space="preserve">Mitigation: </w:t>
      </w:r>
      <w:r>
        <w:t xml:space="preserve">Test on OOD chain lengths and variable indices</w:t>
      </w:r>
    </w:p>
    <w:p>
      <w:pPr>
        <w:pStyle w:val="ListParagraph"/>
        <w:numPr>
          <w:ilvl w:val="1"/>
          <w:numId w:val="2"/>
        </w:numPr>
        <w:spacing w:after="200"/>
      </w:pPr>
      <w:r>
        <w:rPr>
          <w:b/>
          <w:bCs/>
        </w:rPr>
        <w:t xml:space="preserve">Detection: </w:t>
      </w:r>
      <w:r>
        <w:t xml:space="preserve">If in-distribution &gt;&gt; OOD performance, investigate</w:t>
      </w:r>
    </w:p>
    <w:p>
      <w:pPr>
        <w:pStyle w:val="ListParagraph"/>
        <w:numPr>
          <w:ilvl w:val="0"/>
          <w:numId w:val="6"/>
        </w:numPr>
      </w:pPr>
      <w:r>
        <w:rPr>
          <w:b/>
          <w:bCs/>
        </w:rPr>
        <w:t xml:space="preserve">Risk: Encoder-decoder adds too much complexity</w:t>
      </w:r>
    </w:p>
    <w:p>
      <w:pPr>
        <w:pStyle w:val="ListParagraph"/>
        <w:numPr>
          <w:ilvl w:val="1"/>
          <w:numId w:val="2"/>
        </w:numPr>
      </w:pPr>
      <w:r>
        <w:rPr>
          <w:b/>
          <w:bCs/>
        </w:rPr>
        <w:t xml:space="preserve">Mitigation: </w:t>
      </w:r>
      <w:r>
        <w:t xml:space="preserve">Try extended decoder with longer context first</w:t>
      </w:r>
    </w:p>
    <w:p>
      <w:pPr>
        <w:pStyle w:val="ListParagraph"/>
        <w:numPr>
          <w:ilvl w:val="1"/>
          <w:numId w:val="2"/>
        </w:numPr>
        <w:spacing w:after="200"/>
      </w:pPr>
      <w:r>
        <w:rPr>
          <w:b/>
          <w:bCs/>
        </w:rPr>
        <w:t xml:space="preserve">Alternative: </w:t>
      </w:r>
      <w:r>
        <w:t xml:space="preserve">Implement scratchpad approach if enc-dec problematic</w:t>
      </w:r>
    </w:p>
    <w:p>
      <w:pPr>
        <w:pStyle w:val="ListParagraph"/>
        <w:numPr>
          <w:ilvl w:val="0"/>
          <w:numId w:val="6"/>
        </w:numPr>
      </w:pPr>
      <w:r>
        <w:rPr>
          <w:b/>
          <w:bCs/>
        </w:rPr>
        <w:t xml:space="preserve">Risk: Curriculum learning doesn't help</w:t>
      </w:r>
    </w:p>
    <w:p>
      <w:pPr>
        <w:pStyle w:val="ListParagraph"/>
        <w:numPr>
          <w:ilvl w:val="1"/>
          <w:numId w:val="2"/>
        </w:numPr>
      </w:pPr>
      <w:r>
        <w:rPr>
          <w:b/>
          <w:bCs/>
        </w:rPr>
        <w:t xml:space="preserve">Mitigation: </w:t>
      </w:r>
      <w:r>
        <w:t xml:space="preserve">Run both curriculum and from-scratch experiments</w:t>
      </w:r>
    </w:p>
    <w:p>
      <w:pPr>
        <w:pStyle w:val="ListParagraph"/>
        <w:numPr>
          <w:ilvl w:val="1"/>
          <w:numId w:val="2"/>
        </w:numPr>
        <w:spacing w:after="200"/>
      </w:pPr>
      <w:r>
        <w:rPr>
          <w:b/>
          <w:bCs/>
        </w:rPr>
        <w:t xml:space="preserve">Value: </w:t>
      </w:r>
      <w:r>
        <w:t xml:space="preserve">Negative result is publishable finding about transfer learning</w:t>
      </w:r>
    </w:p>
    <w:p>
      <w:pPr>
        <w:pStyle w:val="Heading1"/>
      </w:pPr>
      <w:r>
        <w:t xml:space="preserve">11. Success Criteria</w:t>
      </w:r>
    </w:p>
    <w:p>
      <w:pPr>
        <w:spacing w:after="100"/>
      </w:pPr>
      <w:r>
        <w:rPr>
          <w:b/>
          <w:bCs/>
        </w:rPr>
        <w:t xml:space="preserve">Minimum Viable Success:</w:t>
      </w:r>
    </w:p>
    <w:p>
      <w:pPr>
        <w:pStyle w:val="ListParagraph"/>
        <w:numPr>
          <w:ilvl w:val="0"/>
          <w:numId w:val="2"/>
        </w:numPr>
      </w:pPr>
      <w:r>
        <w:t xml:space="preserve">Stage 1: &gt;95% exact match on equality substitution</w:t>
      </w:r>
    </w:p>
    <w:p>
      <w:pPr>
        <w:pStyle w:val="ListParagraph"/>
        <w:numPr>
          <w:ilvl w:val="0"/>
          <w:numId w:val="2"/>
        </w:numPr>
        <w:spacing w:after="200"/>
      </w:pPr>
      <w:r>
        <w:t xml:space="preserve">Stage 2: &gt;90% on 2-step chains, &gt;80% on 3-step chains</w:t>
      </w:r>
    </w:p>
    <w:p>
      <w:pPr>
        <w:spacing w:after="100"/>
      </w:pPr>
      <w:r>
        <w:rPr>
          <w:b/>
          <w:bCs/>
        </w:rPr>
        <w:t xml:space="preserve">Target Success:</w:t>
      </w:r>
    </w:p>
    <w:p>
      <w:pPr>
        <w:pStyle w:val="ListParagraph"/>
        <w:numPr>
          <w:ilvl w:val="0"/>
          <w:numId w:val="2"/>
        </w:numPr>
      </w:pPr>
      <w:r>
        <w:t xml:space="preserve">Stage 2: &gt;60% on 5-step chains (generalisation beyond training distribution)</w:t>
      </w:r>
    </w:p>
    <w:p>
      <w:pPr>
        <w:pStyle w:val="ListParagraph"/>
        <w:numPr>
          <w:ilvl w:val="0"/>
          <w:numId w:val="2"/>
        </w:numPr>
        <w:spacing w:after="200"/>
      </w:pPr>
      <w:r>
        <w:t xml:space="preserve">Stage 3: &gt;85% on single-step modus ponens</w:t>
      </w:r>
    </w:p>
    <w:p>
      <w:pPr>
        <w:spacing w:after="100"/>
      </w:pPr>
      <w:r>
        <w:rPr>
          <w:b/>
          <w:bCs/>
        </w:rPr>
        <w:t xml:space="preserve">Stretch Goals:</w:t>
      </w:r>
    </w:p>
    <w:p>
      <w:pPr>
        <w:pStyle w:val="ListParagraph"/>
        <w:numPr>
          <w:ilvl w:val="0"/>
          <w:numId w:val="2"/>
        </w:numPr>
      </w:pPr>
      <w:r>
        <w:t xml:space="preserve">Stage 4: &gt;70% on 2-step deduction chains</w:t>
      </w:r>
    </w:p>
    <w:p>
      <w:pPr>
        <w:pStyle w:val="ListParagraph"/>
        <w:numPr>
          <w:ilvl w:val="0"/>
          <w:numId w:val="2"/>
        </w:numPr>
      </w:pPr>
      <w:r>
        <w:t xml:space="preserve">Demonstration of attention patterns matching logical structure</w:t>
      </w:r>
    </w:p>
    <w:p>
      <w:pPr>
        <w:pStyle w:val="ListParagraph"/>
        <w:numPr>
          <w:ilvl w:val="0"/>
          <w:numId w:val="2"/>
        </w:numPr>
        <w:spacing w:after="200"/>
      </w:pPr>
      <w:r>
        <w:t xml:space="preserve">Interactive reasoning demo deployable in browser</w:t>
      </w:r>
    </w:p>
    <w:p>
      <w:pPr>
        <w:pStyle w:val="Heading1"/>
      </w:pPr>
      <w:r>
        <w:t xml:space="preserve">12. Conclusion</w:t>
      </w:r>
    </w:p>
    <w:p>
      <w:pPr>
        <w:spacing w:after="200"/>
      </w:pPr>
      <w:r>
        <w:t xml:space="preserve">This specification outlines a systematic approach to extending Symbolic Transformers from syntax learning to logical reasoning. The staged task hierarchy, combined with curriculum learning and careful evaluation, provides multiple publishable checkpoints while building toward the ambitious goal of neural theorem proving at minimal scale.</w:t>
      </w:r>
    </w:p>
    <w:p>
      <w:pPr>
        <w:spacing w:after="200"/>
      </w:pPr>
      <w:r>
        <w:t xml:space="preserve">The key insight driving this work is that reasoning, like syntax, is learnable from data when the representation is right. Compositional tokenization, proven effective for syntax, should transfer to reasoning tasks where variable binding and rule application follow similar structural principles.</w:t>
      </w:r>
    </w:p>
    <w:p>
      <w:pPr>
        <w:spacing w:after="200"/>
      </w:pPr>
      <w:r>
        <w:rPr>
          <w:i/>
          <w:iCs/>
        </w:rPr>
        <w:t xml:space="preserve">The central claim to be tested: </w:t>
      </w:r>
      <w:r>
        <w:rPr>
          <w:i/>
          <w:iCs/>
        </w:rPr>
        <w:t xml:space="preserve">A 566K parameter model with compositional tokenization can learn logical inference rules from examples, generalising to longer chains and unseen variable combinations.</w:t>
      </w:r>
    </w:p>
    <w:p>
      <w:r>
        <w:t xml:space="preserve">If successful, this represents a significant step toward efficient, interpretable, and deployable symbolic AI.</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Symbolic Transformers: Reasoning Extension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a1a2e"/>
      <w:sz w:val="48"/>
      <w:szCs w:val="48"/>
    </w:rPr>
  </w:style>
  <w:style w:type="paragraph" w:styleId="Heading1">
    <w:name w:val="Heading 1"/>
    <w:basedOn w:val="Normal"/>
    <w:next w:val="Normal"/>
    <w:qFormat/>
    <w:pPr>
      <w:spacing w:before="360" w:after="180"/>
      <w:outlineLvl w:val="0"/>
    </w:pPr>
    <w:rPr>
      <w:rFonts w:ascii="Arial" w:cs="Arial" w:eastAsia="Arial" w:hAnsi="Arial"/>
      <w:b/>
      <w:bCs/>
      <w:color w:val="16213e"/>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0f3460"/>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1a1a2e"/>
      <w:sz w:val="24"/>
      <w:szCs w:val="24"/>
    </w:rPr>
  </w:style>
  <w:style w:type="paragraph" w:styleId="CodeBlock">
    <w:name w:val="Code Block"/>
    <w:basedOn w:val="Normal"/>
    <w:pPr>
      <w:spacing w:before="120" w:after="120"/>
    </w:pPr>
    <w:rPr>
      <w:rFonts w:ascii="Courier New" w:cs="Courier New" w:eastAsia="Courier New" w:hAnsi="Courier New"/>
      <w:color w:val="2d343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2025-12-21T08:39:48.087Z</dcterms:created>
  <dcterms:modified xsi:type="dcterms:W3CDTF">2025-12-21T08:39:48.088Z</dcterms:modified>
</cp:coreProperties>
</file>

<file path=docProps/custom.xml><?xml version="1.0" encoding="utf-8"?>
<Properties xmlns="http://schemas.openxmlformats.org/officeDocument/2006/custom-properties" xmlns:vt="http://schemas.openxmlformats.org/officeDocument/2006/docPropsVTypes"/>
</file>