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3FBA3">
      <w:pPr>
        <w:spacing w:before="100" w:beforeAutospacing="1" w:after="100" w:afterAutospacing="1" w:line="36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Theory Assignment 3 – Unit 3:</w:t>
      </w:r>
    </w:p>
    <w:p w14:paraId="66B3FBA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Investigation of Cyber Crimes</w:t>
      </w:r>
    </w:p>
    <w:p w14:paraId="66B3FBA6">
      <w:pPr>
        <w:pStyle w:val="4"/>
        <w:spacing w:line="36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ascii="Times New Roman" w:hAnsi="Times New Roman" w:cs="Times New Roman"/>
          <w:b/>
          <w:bCs/>
          <w:color w:val="auto"/>
          <w:sz w:val="28"/>
          <w:szCs w:val="28"/>
        </w:rPr>
        <w:t>Assignment Title:</w:t>
      </w:r>
    </w:p>
    <w:p w14:paraId="66B3FBA7">
      <w:pPr>
        <w:pStyle w:val="12"/>
        <w:spacing w:line="360" w:lineRule="auto"/>
        <w:rPr>
          <w:lang w:val="en-US"/>
        </w:rPr>
      </w:pPr>
      <w:r>
        <w:rPr>
          <w:rStyle w:val="13"/>
          <w:b w:val="0"/>
          <w:bCs w:val="0"/>
        </w:rPr>
        <w:t>“Investigating Malicious Digital Activities and Procedures Followed by Cybercrime Agencies in India”</w:t>
      </w:r>
    </w:p>
    <w:p w14:paraId="3A57BB3F">
      <w:pPr>
        <w:pStyle w:val="12"/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Solution:</w:t>
      </w:r>
    </w:p>
    <w:p w14:paraId="1A905818">
      <w:pPr>
        <w:pStyle w:val="12"/>
        <w:spacing w:line="360" w:lineRule="auto"/>
      </w:pPr>
      <w:r>
        <w:t xml:space="preserve">Part A: Role of Indian Cybercrime Investigative Agencies </w:t>
      </w:r>
      <w:r>
        <w:rPr>
          <w:rFonts w:ascii="Segoe UI Emoji" w:hAnsi="Segoe UI Emoji" w:cs="Segoe UI Emoji"/>
        </w:rPr>
        <w:t>🇮🇳</w:t>
      </w:r>
    </w:p>
    <w:p w14:paraId="2E90622B">
      <w:pPr>
        <w:pStyle w:val="12"/>
        <w:spacing w:line="360" w:lineRule="auto"/>
      </w:pPr>
      <w:r>
        <w:t>Indian cybercrime investigations rely on a coordinated effort between various specialized agencies with distinct jurisdictions and powers.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59"/>
        <w:gridCol w:w="3398"/>
        <w:gridCol w:w="3619"/>
      </w:tblGrid>
      <w:tr w14:paraId="5A1F7C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2D01A">
            <w:pPr>
              <w:pStyle w:val="12"/>
              <w:spacing w:line="360" w:lineRule="auto"/>
            </w:pPr>
            <w:r>
              <w:t>Agency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67666">
            <w:pPr>
              <w:pStyle w:val="12"/>
              <w:spacing w:line="360" w:lineRule="auto"/>
            </w:pPr>
            <w:r>
              <w:t>Primary Role &amp; Jurisdiction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8F1C3">
            <w:pPr>
              <w:pStyle w:val="12"/>
              <w:spacing w:line="360" w:lineRule="auto"/>
            </w:pPr>
            <w:r>
              <w:t>Legal Powers (Relevant Sections)</w:t>
            </w:r>
          </w:p>
        </w:tc>
      </w:tr>
      <w:tr w14:paraId="0D3F29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0AC3C4">
            <w:pPr>
              <w:pStyle w:val="12"/>
              <w:spacing w:line="360" w:lineRule="auto"/>
            </w:pPr>
            <w:r>
              <w:t xml:space="preserve">CERT-In (Computer Emergency Response Team - India)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4DF1E">
            <w:pPr>
              <w:pStyle w:val="12"/>
              <w:spacing w:line="360" w:lineRule="auto"/>
            </w:pPr>
            <w:r>
              <w:t>National Nodal Agency for cyber security incidents. Issues alerts, advisories, and handles incident response.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F03C1F">
            <w:pPr>
              <w:pStyle w:val="12"/>
              <w:spacing w:line="360" w:lineRule="auto"/>
            </w:pPr>
            <w:r>
              <w:t>IT Act 2000, Section 70B (Mandates CERT-In's functions and directs agencies to share information).</w:t>
            </w:r>
          </w:p>
        </w:tc>
      </w:tr>
      <w:tr w14:paraId="502364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378F68">
            <w:pPr>
              <w:pStyle w:val="12"/>
              <w:spacing w:line="360" w:lineRule="auto"/>
            </w:pPr>
            <w:r>
              <w:t xml:space="preserve">CBI (Central Bureau of Investigation) </w:t>
            </w:r>
            <w:r>
              <w:rPr>
                <w:vertAlign w:val="superscript"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578BA">
            <w:pPr>
              <w:pStyle w:val="12"/>
              <w:spacing w:line="360" w:lineRule="auto"/>
            </w:pPr>
            <w:r>
              <w:t>Investigates complex, multi-state, or international cybercrime cases, often involving high-profile financial fraud or hacking.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53948">
            <w:pPr>
              <w:pStyle w:val="12"/>
              <w:spacing w:line="360" w:lineRule="auto"/>
            </w:pPr>
            <w:r>
              <w:t>CrPC 91 (Power to issue summons to produce documents/data) and IPC 420 (Cheating).</w:t>
            </w:r>
          </w:p>
        </w:tc>
      </w:tr>
      <w:tr w14:paraId="438507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1CC85">
            <w:pPr>
              <w:pStyle w:val="12"/>
              <w:spacing w:line="360" w:lineRule="auto"/>
            </w:pPr>
            <w:r>
              <w:t xml:space="preserve">State Cyber Crime Cells </w:t>
            </w:r>
            <w:r>
              <w:rPr>
                <w:vertAlign w:val="superscript"/>
              </w:rPr>
              <w:t>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FF95D">
            <w:pPr>
              <w:pStyle w:val="12"/>
              <w:spacing w:line="360" w:lineRule="auto"/>
            </w:pPr>
            <w:r>
              <w:t>Handles regional cybercrime complaints and operates under the respective State Police jurisdiction.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2E1FC1">
            <w:pPr>
              <w:pStyle w:val="12"/>
              <w:spacing w:line="360" w:lineRule="auto"/>
            </w:pPr>
            <w:r>
              <w:t>IT Act 2000 (various sections like 43 and 66) and IPC 420, 463, 465 (Forgery).</w:t>
            </w:r>
          </w:p>
        </w:tc>
      </w:tr>
      <w:tr w14:paraId="1955C1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D6D8B">
            <w:pPr>
              <w:pStyle w:val="12"/>
              <w:spacing w:line="360" w:lineRule="auto"/>
            </w:pPr>
            <w:r>
              <w:t xml:space="preserve">NIA (National Investigation Agency) </w:t>
            </w:r>
            <w:r>
              <w:rPr>
                <w:vertAlign w:val="superscript"/>
              </w:rPr>
              <w:t>11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06130">
            <w:pPr>
              <w:pStyle w:val="12"/>
              <w:spacing w:line="360" w:lineRule="auto"/>
            </w:pPr>
            <w:r>
              <w:t>Investigates terrorism and related acts; may handle cybercrimes that pose a threat to national security.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D334D">
            <w:pPr>
              <w:pStyle w:val="12"/>
              <w:spacing w:line="360" w:lineRule="auto"/>
            </w:pPr>
            <w:r>
              <w:t>IT Act 2000, Section 69A (Power to issue directions for blocking public access to information) and CrPC provisions.</w:t>
            </w:r>
          </w:p>
        </w:tc>
      </w:tr>
    </w:tbl>
    <w:p w14:paraId="09F3E63D">
      <w:pPr>
        <w:pStyle w:val="12"/>
        <w:numPr>
          <w:ilvl w:val="0"/>
          <w:numId w:val="1"/>
        </w:numPr>
        <w:spacing w:line="360" w:lineRule="auto"/>
      </w:pPr>
      <w:r>
        <w:t>Coordination: State Cyber Crime Cells coordinate with CERT-In for technical advisories and with CBI/NIA for cases crossing state/national boundaries. The legal framework ensures that digital evidence seized by any agency is admissible under the IT Act.</w:t>
      </w:r>
    </w:p>
    <w:p w14:paraId="6CD46436">
      <w:pPr>
        <w:pStyle w:val="12"/>
        <w:spacing w:line="360" w:lineRule="auto"/>
      </w:pPr>
    </w:p>
    <w:p w14:paraId="2B155258">
      <w:pPr>
        <w:pStyle w:val="12"/>
        <w:spacing w:line="360" w:lineRule="auto"/>
      </w:pPr>
      <w:r>
        <w:t xml:space="preserve">Part B: First Responder and Scene Securing Protocols </w:t>
      </w:r>
    </w:p>
    <w:p w14:paraId="6C04D501">
      <w:pPr>
        <w:pStyle w:val="12"/>
        <w:spacing w:line="360" w:lineRule="auto"/>
      </w:pPr>
      <w:r>
        <w:t>The first responder (police officer) is critical for securing the digital crime scene and preserving volatile evidence before the forensic team arrives.</w:t>
      </w:r>
    </w:p>
    <w:p w14:paraId="106C7BCE">
      <w:pPr>
        <w:pStyle w:val="12"/>
        <w:spacing w:line="360" w:lineRule="auto"/>
      </w:pPr>
      <w:r>
        <w:t>1. Securing the Digital Scene</w:t>
      </w:r>
    </w:p>
    <w:p w14:paraId="2CD64BCE">
      <w:pPr>
        <w:pStyle w:val="12"/>
        <w:spacing w:line="360" w:lineRule="auto"/>
      </w:pPr>
      <w:r>
        <w:t>The scenario involves a suspect's PC and a phone infected with the malicious app.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9"/>
        <w:gridCol w:w="3896"/>
        <w:gridCol w:w="3921"/>
      </w:tblGrid>
      <w:tr w14:paraId="617C98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6D9A1">
            <w:pPr>
              <w:pStyle w:val="12"/>
              <w:spacing w:line="360" w:lineRule="auto"/>
            </w:pPr>
            <w:r>
              <w:t>Data Source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77CD61">
            <w:pPr>
              <w:pStyle w:val="12"/>
              <w:spacing w:line="360" w:lineRule="auto"/>
            </w:pPr>
            <w:r>
              <w:t>Securing Protocol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0EDE8C">
            <w:pPr>
              <w:pStyle w:val="12"/>
              <w:spacing w:line="360" w:lineRule="auto"/>
            </w:pPr>
            <w:r>
              <w:t>Justification</w:t>
            </w:r>
          </w:p>
        </w:tc>
      </w:tr>
      <w:tr w14:paraId="22CF53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9C30C">
            <w:pPr>
              <w:pStyle w:val="12"/>
              <w:spacing w:line="360" w:lineRule="auto"/>
            </w:pPr>
            <w:r>
              <w:t>Suspect's PC (ON)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C5E8E">
            <w:pPr>
              <w:pStyle w:val="12"/>
              <w:spacing w:line="360" w:lineRule="auto"/>
            </w:pPr>
            <w:r>
              <w:t>Do NOT turn off. Disconnect from the network (pull the cable) and block wireless access.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43419">
            <w:pPr>
              <w:pStyle w:val="12"/>
              <w:spacing w:line="360" w:lineRule="auto"/>
            </w:pPr>
            <w:r>
              <w:t>Preserves volatile data (RAM, open programs, running processes) which is lost on power down</w:t>
            </w:r>
            <w:r>
              <w:rPr>
                <w:vertAlign w:val="superscript"/>
              </w:rPr>
              <w:t>17</w:t>
            </w:r>
            <w:r>
              <w:t>.</w:t>
            </w:r>
          </w:p>
        </w:tc>
      </w:tr>
      <w:tr w14:paraId="764CB3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862AB">
            <w:pPr>
              <w:pStyle w:val="12"/>
              <w:spacing w:line="360" w:lineRule="auto"/>
            </w:pPr>
            <w:r>
              <w:t>Suspect's Phone (ON)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DF46A">
            <w:pPr>
              <w:pStyle w:val="12"/>
              <w:spacing w:line="360" w:lineRule="auto"/>
            </w:pPr>
            <w:r>
              <w:t>Activate Airplane Mode or place in a Faraday Bag immediately. Do not interact with the screen.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66C7D">
            <w:pPr>
              <w:pStyle w:val="12"/>
              <w:spacing w:line="360" w:lineRule="auto"/>
            </w:pPr>
            <w:r>
              <w:t>Prevents remote wiping or modification of data via the cellular/Wi-Fi network</w:t>
            </w:r>
            <w:r>
              <w:rPr>
                <w:vertAlign w:val="superscript"/>
              </w:rPr>
              <w:t>18</w:t>
            </w:r>
            <w:r>
              <w:t>.</w:t>
            </w:r>
          </w:p>
        </w:tc>
      </w:tr>
    </w:tbl>
    <w:p w14:paraId="777DEA0A">
      <w:pPr>
        <w:pStyle w:val="12"/>
        <w:spacing w:line="360" w:lineRule="auto"/>
      </w:pPr>
      <w:r>
        <w:t>2. Documenting the Digital Environment</w:t>
      </w:r>
    </w:p>
    <w:p w14:paraId="34886643">
      <w:pPr>
        <w:pStyle w:val="12"/>
        <w:spacing w:line="360" w:lineRule="auto"/>
      </w:pPr>
      <w:r>
        <w:t>Documentation is crucial for court admissibility.</w:t>
      </w:r>
    </w:p>
    <w:p w14:paraId="6FC7F014">
      <w:pPr>
        <w:pStyle w:val="12"/>
        <w:numPr>
          <w:ilvl w:val="0"/>
          <w:numId w:val="2"/>
        </w:numPr>
        <w:spacing w:line="360" w:lineRule="auto"/>
      </w:pPr>
      <w:r>
        <w:t>Photographing: Take high-resolution photos of the entire scene, focusing on the computer screen's contents (if running), cable connections, and the state of the mobile device.</w:t>
      </w:r>
    </w:p>
    <w:p w14:paraId="64522401">
      <w:pPr>
        <w:pStyle w:val="12"/>
        <w:numPr>
          <w:ilvl w:val="0"/>
          <w:numId w:val="2"/>
        </w:numPr>
        <w:spacing w:line="360" w:lineRule="auto"/>
      </w:pPr>
      <w:r>
        <w:t>Digital Sketch: Create a physical or digital sketch map showing the location of the PC, network cables, power outlets, and the phone relative to the overall scene.</w:t>
      </w:r>
    </w:p>
    <w:p w14:paraId="3E3C1434">
      <w:pPr>
        <w:pStyle w:val="12"/>
        <w:numPr>
          <w:ilvl w:val="0"/>
          <w:numId w:val="2"/>
        </w:numPr>
        <w:spacing w:line="360" w:lineRule="auto"/>
      </w:pPr>
      <w:r>
        <w:t>Evidence Tags: Affix unique evidence tags to every item seized (PC, mouse, keyboard, phone, power adapter, cables).</w:t>
      </w:r>
    </w:p>
    <w:p w14:paraId="21DFE091">
      <w:pPr>
        <w:pStyle w:val="12"/>
        <w:spacing w:line="360" w:lineRule="auto"/>
      </w:pPr>
      <w:r>
        <w:t>3. Checklist for Secure Transport of Digital Evidence</w:t>
      </w:r>
    </w:p>
    <w:p w14:paraId="24B6CDB4">
      <w:pPr>
        <w:pStyle w:val="12"/>
        <w:numPr>
          <w:ilvl w:val="0"/>
          <w:numId w:val="3"/>
        </w:numPr>
        <w:spacing w:line="360" w:lineRule="auto"/>
      </w:pPr>
      <w:r>
        <w:t>Power/Isolation: All devices are disconnected from power and network.</w:t>
      </w:r>
    </w:p>
    <w:p w14:paraId="13FE409E">
      <w:pPr>
        <w:pStyle w:val="12"/>
        <w:numPr>
          <w:ilvl w:val="0"/>
          <w:numId w:val="3"/>
        </w:numPr>
        <w:spacing w:line="360" w:lineRule="auto"/>
      </w:pPr>
      <w:r>
        <w:t>Anti-Static Bags: Devices are placed in anti-static or shielded bags (Faraday bags for mobiles).</w:t>
      </w:r>
    </w:p>
    <w:p w14:paraId="1C01B927">
      <w:pPr>
        <w:pStyle w:val="12"/>
        <w:numPr>
          <w:ilvl w:val="0"/>
          <w:numId w:val="3"/>
        </w:numPr>
        <w:spacing w:line="360" w:lineRule="auto"/>
      </w:pPr>
      <w:r>
        <w:t>Temperature Control: Transport is managed to avoid extreme temperatures or physical shock.</w:t>
      </w:r>
    </w:p>
    <w:p w14:paraId="0928D926">
      <w:pPr>
        <w:pStyle w:val="12"/>
        <w:numPr>
          <w:ilvl w:val="0"/>
          <w:numId w:val="3"/>
        </w:numPr>
        <w:spacing w:line="360" w:lineRule="auto"/>
      </w:pPr>
      <w:r>
        <w:t>Initial Chain of Custody: The CoC form is started, signed by the first responder, and sealed.</w:t>
      </w:r>
    </w:p>
    <w:p w14:paraId="7F1F4152">
      <w:pPr>
        <w:pStyle w:val="12"/>
        <w:spacing w:line="360" w:lineRule="auto"/>
      </w:pPr>
    </w:p>
    <w:p w14:paraId="6D19E1AB">
      <w:pPr>
        <w:pStyle w:val="12"/>
        <w:spacing w:line="360" w:lineRule="auto"/>
      </w:pPr>
      <w:r>
        <w:t xml:space="preserve">Part C: Evidence Collection, Seizure, and Transportation </w:t>
      </w:r>
    </w:p>
    <w:p w14:paraId="14F35921">
      <w:pPr>
        <w:pStyle w:val="12"/>
        <w:spacing w:line="360" w:lineRule="auto"/>
      </w:pPr>
      <w:r>
        <w:t>This outlines the forensic procedures following the first responder's actions.</w:t>
      </w:r>
    </w:p>
    <w:p w14:paraId="56AF1224">
      <w:pPr>
        <w:pStyle w:val="12"/>
        <w:numPr>
          <w:ilvl w:val="0"/>
          <w:numId w:val="4"/>
        </w:numPr>
        <w:spacing w:line="360" w:lineRule="auto"/>
      </w:pPr>
      <w:r>
        <w:t>Seizing Devices: All identified storage media (hard disks, mobile phones, SIMs, etc.) are seized under the authority of a legal warrant.</w:t>
      </w:r>
    </w:p>
    <w:p w14:paraId="1557D00A">
      <w:pPr>
        <w:pStyle w:val="12"/>
        <w:numPr>
          <w:ilvl w:val="0"/>
          <w:numId w:val="4"/>
        </w:numPr>
        <w:spacing w:line="360" w:lineRule="auto"/>
      </w:pPr>
      <w:r>
        <w:t>Imaging and Hashing:</w:t>
      </w:r>
    </w:p>
    <w:p w14:paraId="64D4C4C1">
      <w:pPr>
        <w:pStyle w:val="12"/>
        <w:numPr>
          <w:ilvl w:val="1"/>
          <w:numId w:val="4"/>
        </w:numPr>
        <w:spacing w:line="360" w:lineRule="auto"/>
      </w:pPr>
      <w:r>
        <w:t>Principle: The original evidence is never analyzed directly; a verified copy (image) is created.</w:t>
      </w:r>
    </w:p>
    <w:p w14:paraId="518D17FF">
      <w:pPr>
        <w:pStyle w:val="12"/>
        <w:numPr>
          <w:ilvl w:val="1"/>
          <w:numId w:val="4"/>
        </w:numPr>
        <w:spacing w:line="360" w:lineRule="auto"/>
      </w:pPr>
      <w:r>
        <w:t>Hard Disks: Use FTK Imager or dd with a hardware write-blocker to create a bit-for-bit image (e.g., E01 format)</w:t>
      </w:r>
      <w:r>
        <w:rPr>
          <w:vertAlign w:val="superscript"/>
        </w:rPr>
        <w:t>26</w:t>
      </w:r>
      <w:r>
        <w:t xml:space="preserve">. The SHA-256 hash is calculated </w:t>
      </w:r>
      <w:r>
        <w:rPr>
          <w:i/>
          <w:iCs/>
        </w:rPr>
        <w:t>before and after</w:t>
      </w:r>
      <w:r>
        <w:t xml:space="preserve"> imaging to prove the copy's integrity.</w:t>
      </w:r>
    </w:p>
    <w:p w14:paraId="2CDE8374">
      <w:pPr>
        <w:pStyle w:val="12"/>
        <w:numPr>
          <w:ilvl w:val="1"/>
          <w:numId w:val="4"/>
        </w:numPr>
        <w:spacing w:line="360" w:lineRule="auto"/>
      </w:pPr>
      <w:r>
        <w:t>Mobile Phones: Use specialized tools like Cellebrite UFED for logical or physical extraction (imaging).</w:t>
      </w:r>
    </w:p>
    <w:p w14:paraId="6F65CF9B">
      <w:pPr>
        <w:pStyle w:val="12"/>
        <w:numPr>
          <w:ilvl w:val="0"/>
          <w:numId w:val="4"/>
        </w:numPr>
        <w:spacing w:line="360" w:lineRule="auto"/>
      </w:pPr>
      <w:r>
        <w:t>Bagging and Tagging: Each item is physically sealed, tagged with a unique evidence number, the date, time, and the investigator's signature to prevent tampering.</w:t>
      </w:r>
    </w:p>
    <w:p w14:paraId="676EE5F1">
      <w:pPr>
        <w:pStyle w:val="12"/>
        <w:numPr>
          <w:ilvl w:val="0"/>
          <w:numId w:val="4"/>
        </w:numPr>
        <w:spacing w:line="360" w:lineRule="auto"/>
      </w:pPr>
      <w:r>
        <w:t>Chain of Custody (Continuation): The CoC document tracks every transfer of evidence, detailing the recipient, purpose, and time, maintaining an unbroken history.</w:t>
      </w:r>
    </w:p>
    <w:p w14:paraId="24783940">
      <w:pPr>
        <w:pStyle w:val="12"/>
        <w:spacing w:line="360" w:lineRule="auto"/>
      </w:pPr>
      <w:r>
        <w:t xml:space="preserve">Part D: Data Acquisition and Analysis of the Malicious App </w:t>
      </w:r>
    </w:p>
    <w:p w14:paraId="333918E7">
      <w:pPr>
        <w:pStyle w:val="12"/>
        <w:spacing w:line="360" w:lineRule="auto"/>
      </w:pPr>
      <w:r>
        <w:t>This focuses on the simulated analysis of the banking credential-stealing Android Package Kit (APK) file</w:t>
      </w:r>
      <w:r>
        <w:rPr>
          <w:vertAlign w:val="superscript"/>
        </w:rPr>
        <w:t>31</w:t>
      </w:r>
      <w:r>
        <w:t>.</w:t>
      </w:r>
    </w:p>
    <w:p w14:paraId="307D28CA">
      <w:pPr>
        <w:pStyle w:val="12"/>
        <w:spacing w:line="360" w:lineRule="auto"/>
      </w:pPr>
      <w:r>
        <w:t>1. Acquisition and Analysis Setup</w:t>
      </w:r>
    </w:p>
    <w:p w14:paraId="4C92A32D">
      <w:pPr>
        <w:pStyle w:val="12"/>
        <w:numPr>
          <w:ilvl w:val="0"/>
          <w:numId w:val="5"/>
        </w:numPr>
        <w:spacing w:line="360" w:lineRule="auto"/>
      </w:pPr>
      <w:r>
        <w:t>APK Acquisition: The malicious APK file is acquired from the suspect's phone (internal storage) or from a downloaded file location on the PC.</w:t>
      </w:r>
    </w:p>
    <w:p w14:paraId="308ACE5D">
      <w:pPr>
        <w:pStyle w:val="12"/>
        <w:numPr>
          <w:ilvl w:val="0"/>
          <w:numId w:val="5"/>
        </w:numPr>
        <w:spacing w:line="360" w:lineRule="auto"/>
      </w:pPr>
      <w:r>
        <w:t>Reverse Engineering: The APK file is loaded into a platform like MobSF (Mobile Security Framework) or a decompiler like JADX to convert the DEX code back into human-readable Java code.</w:t>
      </w:r>
    </w:p>
    <w:p w14:paraId="581B9788">
      <w:pPr>
        <w:pStyle w:val="12"/>
        <w:numPr>
          <w:ilvl w:val="0"/>
          <w:numId w:val="5"/>
        </w:numPr>
        <w:spacing w:line="360" w:lineRule="auto"/>
      </w:pPr>
      <w:r>
        <w:t>Network Activity Logging: The app is run in a secure, isolated sandbox environment while tools like Wireshark or Fiddler log all outbound network connections.</w:t>
      </w:r>
    </w:p>
    <w:p w14:paraId="35911CC4">
      <w:pPr>
        <w:pStyle w:val="12"/>
        <w:spacing w:line="360" w:lineRule="auto"/>
      </w:pPr>
      <w:r>
        <w:t>2. Findings and Data Captured</w:t>
      </w:r>
    </w:p>
    <w:p w14:paraId="1B09554F">
      <w:pPr>
        <w:pStyle w:val="12"/>
        <w:numPr>
          <w:ilvl w:val="0"/>
          <w:numId w:val="6"/>
        </w:numPr>
        <w:spacing w:line="360" w:lineRule="auto"/>
      </w:pPr>
      <w:r>
        <w:t>Suspicious Permissions/API Calls: Analysis reveals dangerous permissions like android.permission.READ_SMS (to bypass 2FA/OTPs) and android.permission.BIND_ACCESSIBILITY_SERVICE (to draw an overlay on legitimate banking apps).</w:t>
      </w:r>
    </w:p>
    <w:p w14:paraId="501A83D3">
      <w:pPr>
        <w:pStyle w:val="12"/>
        <w:numPr>
          <w:ilvl w:val="0"/>
          <w:numId w:val="6"/>
        </w:numPr>
        <w:spacing w:line="360" w:lineRule="auto"/>
      </w:pPr>
      <w:r>
        <w:t>Data Captured: The app uses the overlay to harvest login credentials. The stolen data is then captured in the network logs (Wireshark) being sent to a remote Command and Control (C2) server.</w:t>
      </w:r>
    </w:p>
    <w:p w14:paraId="24402479">
      <w:pPr>
        <w:pStyle w:val="12"/>
        <w:numPr>
          <w:ilvl w:val="0"/>
          <w:numId w:val="6"/>
        </w:numPr>
        <w:spacing w:line="360" w:lineRule="auto"/>
      </w:pPr>
      <w:r>
        <w:t>Indicators of Compromise (IOCs): Extraction of the APK's SHA-256 hash, the C2 server IP address, and the compromised banking app package name.</w:t>
      </w:r>
    </w:p>
    <w:p w14:paraId="4BC4023C">
      <w:pPr>
        <w:pStyle w:val="12"/>
        <w:spacing w:line="360" w:lineRule="auto"/>
      </w:pPr>
      <w:r>
        <w:t>3. Challenges in Analysis</w:t>
      </w:r>
    </w:p>
    <w:p w14:paraId="39968E31">
      <w:pPr>
        <w:pStyle w:val="12"/>
        <w:numPr>
          <w:ilvl w:val="0"/>
          <w:numId w:val="7"/>
        </w:numPr>
        <w:spacing w:line="360" w:lineRule="auto"/>
      </w:pPr>
      <w:r>
        <w:t>Obfuscation: The developers used techniques to obscure the source code (e.g., variable renaming, string encryption) to make manual review difficult.</w:t>
      </w:r>
    </w:p>
    <w:p w14:paraId="3D8835E2">
      <w:pPr>
        <w:pStyle w:val="12"/>
        <w:numPr>
          <w:ilvl w:val="0"/>
          <w:numId w:val="7"/>
        </w:numPr>
        <w:spacing w:line="360" w:lineRule="auto"/>
      </w:pPr>
      <w:r>
        <w:t>Encryption: The data theft and C2 communication may be encrypted (e.g., using SSL Pinning or custom encryption), requiring specialized tools to intercept and decrypt the traffic.</w:t>
      </w:r>
    </w:p>
    <w:p w14:paraId="2D880275">
      <w:pPr>
        <w:pStyle w:val="12"/>
        <w:spacing w:line="360" w:lineRule="auto"/>
      </w:pPr>
      <w:r>
        <w:t xml:space="preserve">Part E: Reporting Format &amp; Final Observations </w:t>
      </w:r>
    </w:p>
    <w:p w14:paraId="55D316CC">
      <w:pPr>
        <w:pStyle w:val="12"/>
        <w:spacing w:line="360" w:lineRule="auto"/>
      </w:pPr>
      <w:r>
        <w:t>The final report synthesizes the investigation into a formal document.</w:t>
      </w:r>
    </w:p>
    <w:p w14:paraId="1E1E7737">
      <w:pPr>
        <w:pStyle w:val="12"/>
        <w:numPr>
          <w:ilvl w:val="0"/>
          <w:numId w:val="8"/>
        </w:numPr>
        <w:spacing w:line="360" w:lineRule="auto"/>
      </w:pPr>
      <w:r>
        <w:t>Executive Summary: Brief explanation of the case, the malicious app's function, and the successful recovery of key IOCs (APK hash, C2 IP).</w:t>
      </w:r>
    </w:p>
    <w:p w14:paraId="11D02A10">
      <w:pPr>
        <w:pStyle w:val="12"/>
        <w:numPr>
          <w:ilvl w:val="0"/>
          <w:numId w:val="8"/>
        </w:numPr>
        <w:spacing w:line="360" w:lineRule="auto"/>
      </w:pPr>
      <w:r>
        <w:t>Evidence Details: Detailed table listing every seized item and the status of the corresponding forensic image (including the confirmed hash).</w:t>
      </w:r>
    </w:p>
    <w:p w14:paraId="79EA5A50">
      <w:pPr>
        <w:pStyle w:val="12"/>
        <w:numPr>
          <w:ilvl w:val="0"/>
          <w:numId w:val="8"/>
        </w:numPr>
        <w:spacing w:line="360" w:lineRule="auto"/>
      </w:pPr>
      <w:r>
        <w:t>Timeline of Activity: Correlated events showing when the app was installed, when banking sessions were initiated, and when the data was exfiltrated.</w:t>
      </w:r>
    </w:p>
    <w:p w14:paraId="2E97993D">
      <w:pPr>
        <w:pStyle w:val="12"/>
        <w:numPr>
          <w:ilvl w:val="0"/>
          <w:numId w:val="8"/>
        </w:numPr>
        <w:spacing w:line="360" w:lineRule="auto"/>
      </w:pPr>
      <w:r>
        <w:t>Observed IOCs: The list of technical indicators (e.g., READ_SMS permission, the C2 server IP 192.0.2.15, the APK hash).</w:t>
      </w:r>
    </w:p>
    <w:p w14:paraId="08DE7B7A">
      <w:pPr>
        <w:pStyle w:val="12"/>
        <w:numPr>
          <w:ilvl w:val="0"/>
          <w:numId w:val="8"/>
        </w:numPr>
        <w:spacing w:line="360" w:lineRule="auto"/>
      </w:pPr>
      <w:r>
        <w:t>Recommendations for Action:</w:t>
      </w:r>
    </w:p>
    <w:p w14:paraId="5A33A147">
      <w:pPr>
        <w:pStyle w:val="12"/>
        <w:numPr>
          <w:ilvl w:val="1"/>
          <w:numId w:val="8"/>
        </w:numPr>
        <w:spacing w:line="360" w:lineRule="auto"/>
      </w:pPr>
      <w:r>
        <w:t>Issue a national alert via CERT-In regarding the malicious APK's hash and package name.</w:t>
      </w:r>
    </w:p>
    <w:p w14:paraId="09BF1636">
      <w:pPr>
        <w:pStyle w:val="12"/>
        <w:numPr>
          <w:ilvl w:val="1"/>
          <w:numId w:val="8"/>
        </w:numPr>
        <w:spacing w:line="360" w:lineRule="auto"/>
      </w:pPr>
      <w:r>
        <w:t>Lodge a request to the appropriate ISP to take down the C2 server.</w:t>
      </w:r>
    </w:p>
    <w:p w14:paraId="02C3BAEF">
      <w:pPr>
        <w:pStyle w:val="12"/>
        <w:numPr>
          <w:ilvl w:val="0"/>
          <w:numId w:val="8"/>
        </w:numPr>
        <w:spacing w:line="360" w:lineRule="auto"/>
      </w:pPr>
      <w:r>
        <w:t>Legal Challenges and Best Practices:</w:t>
      </w:r>
    </w:p>
    <w:p w14:paraId="29E727D6">
      <w:pPr>
        <w:pStyle w:val="12"/>
        <w:numPr>
          <w:ilvl w:val="1"/>
          <w:numId w:val="8"/>
        </w:numPr>
        <w:spacing w:line="360" w:lineRule="auto"/>
      </w:pPr>
      <w:r>
        <w:t>Challenge: The banking data stolen from the victim's device may involve servers hosted in a foreign jurisdiction, requiring a lengthy Mutual Legal Assistance Treaty (MLAT) request.</w:t>
      </w:r>
    </w:p>
    <w:p w14:paraId="23EFFB63">
      <w:pPr>
        <w:pStyle w:val="12"/>
        <w:numPr>
          <w:ilvl w:val="1"/>
          <w:numId w:val="8"/>
        </w:numPr>
        <w:spacing w:line="360" w:lineRule="auto"/>
      </w:pPr>
      <w:r>
        <w:t>Best Practice: Consistent use of write-blockers and cryptographic hashing ensures that the digital evidence collected is admissible under Section 65B of the Indian Evidence Act.</w:t>
      </w:r>
    </w:p>
    <w:p w14:paraId="53D51176">
      <w:pPr>
        <w:pStyle w:val="12"/>
        <w:spacing w:line="360" w:lineRule="auto"/>
        <w:rPr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25460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05623">
    <w:pPr>
      <w:pStyle w:val="10"/>
      <w:wordWrap w:val="0"/>
      <w:jc w:val="right"/>
      <w:rPr>
        <w:rFonts w:hint="default"/>
        <w:lang w:val="en-US"/>
      </w:rPr>
    </w:pPr>
    <w:r>
      <w:rPr>
        <w:rFonts w:hint="default"/>
        <w:lang w:val="en-US"/>
      </w:rPr>
      <w:t>Tripti Singh</w:t>
    </w:r>
  </w:p>
  <w:p w14:paraId="3CF01CE8">
    <w:pPr>
      <w:pStyle w:val="10"/>
      <w:jc w:val="right"/>
      <w:rPr>
        <w:rFonts w:hint="default"/>
        <w:lang w:val="en-US"/>
      </w:rPr>
    </w:pPr>
    <w:r>
      <w:rPr>
        <w:lang w:val="en-US"/>
      </w:rPr>
      <w:t>23010102</w:t>
    </w:r>
    <w:r>
      <w:rPr>
        <w:rFonts w:hint="default"/>
        <w:lang w:val="en-US"/>
      </w:rPr>
      <w:t>48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662DE2"/>
    <w:multiLevelType w:val="multilevel"/>
    <w:tmpl w:val="15662D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9D008FD"/>
    <w:multiLevelType w:val="multilevel"/>
    <w:tmpl w:val="19D00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0871552"/>
    <w:multiLevelType w:val="multilevel"/>
    <w:tmpl w:val="20871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8E50C30"/>
    <w:multiLevelType w:val="multilevel"/>
    <w:tmpl w:val="28E50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B474AB0"/>
    <w:multiLevelType w:val="multilevel"/>
    <w:tmpl w:val="3B474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DAD4F30"/>
    <w:multiLevelType w:val="multilevel"/>
    <w:tmpl w:val="3DAD4F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34E2A64"/>
    <w:multiLevelType w:val="multilevel"/>
    <w:tmpl w:val="534E2A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5F57B74"/>
    <w:multiLevelType w:val="multilevel"/>
    <w:tmpl w:val="75F57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0C8"/>
    <w:rsid w:val="00213169"/>
    <w:rsid w:val="00247574"/>
    <w:rsid w:val="00330795"/>
    <w:rsid w:val="00336C7C"/>
    <w:rsid w:val="00360ED7"/>
    <w:rsid w:val="004909DB"/>
    <w:rsid w:val="00574784"/>
    <w:rsid w:val="006A7580"/>
    <w:rsid w:val="007A5BBC"/>
    <w:rsid w:val="00A2224B"/>
    <w:rsid w:val="00AC60D7"/>
    <w:rsid w:val="00B108E4"/>
    <w:rsid w:val="00B32075"/>
    <w:rsid w:val="00BF3058"/>
    <w:rsid w:val="00D157C4"/>
    <w:rsid w:val="00D440C8"/>
    <w:rsid w:val="00D60DB6"/>
    <w:rsid w:val="00DB2FD8"/>
    <w:rsid w:val="00F87361"/>
    <w:rsid w:val="734E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link w:val="15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4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paragraph" w:styleId="9">
    <w:name w:val="footer"/>
    <w:basedOn w:val="1"/>
    <w:link w:val="2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head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1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3">
    <w:name w:val="Strong"/>
    <w:basedOn w:val="6"/>
    <w:qFormat/>
    <w:uiPriority w:val="22"/>
    <w:rPr>
      <w:b/>
      <w:bCs/>
    </w:rPr>
  </w:style>
  <w:style w:type="character" w:customStyle="1" w:styleId="14">
    <w:name w:val="Heading 1 Char"/>
    <w:basedOn w:val="6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">
    <w:name w:val="Heading 2 Char"/>
    <w:basedOn w:val="6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6">
    <w:name w:val="Heading 3 Char"/>
    <w:basedOn w:val="6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7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IN" w:eastAsia="en-US" w:bidi="ar-SA"/>
    </w:rPr>
  </w:style>
  <w:style w:type="character" w:customStyle="1" w:styleId="18">
    <w:name w:val="Heading 4 Char"/>
    <w:basedOn w:val="6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9">
    <w:name w:val="Header Char"/>
    <w:basedOn w:val="6"/>
    <w:link w:val="10"/>
    <w:uiPriority w:val="99"/>
  </w:style>
  <w:style w:type="character" w:customStyle="1" w:styleId="20">
    <w:name w:val="Footer Char"/>
    <w:basedOn w:val="6"/>
    <w:link w:val="9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1091</Words>
  <Characters>6221</Characters>
  <Lines>51</Lines>
  <Paragraphs>14</Paragraphs>
  <TotalTime>12</TotalTime>
  <ScaleCrop>false</ScaleCrop>
  <LinksUpToDate>false</LinksUpToDate>
  <CharactersWithSpaces>7298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2025-08-05T06:00:00Z</dcterms:created>
  <dc:creator>Ravinder</dc:creator>
  <cp:lastModifiedBy>STUDENT</cp:lastModifiedBy>
  <dcterms:modified xsi:type="dcterms:W3CDTF">2025-11-27T08:04:52Z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3E54BC036B19442590562A8107BF4CF9_12</vt:lpwstr>
  </property>
</Properties>
</file>