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60"/>
        <w:jc w:val="center"/>
      </w:pPr>
      <w:r>
        <w:rPr>
          <w:b/>
          <w:bCs/>
          <w:sz w:val="32"/>
          <w:szCs w:val="32"/>
        </w:rPr>
        <w:t xml:space="preserve">LOGISTICS DATA ANALYST INTERNSHIP</w:t>
      </w:r>
    </w:p>
    <w:p>
      <w:pPr>
        <w:spacing w:after="160"/>
        <w:jc w:val="center"/>
      </w:pPr>
      <w:r>
        <w:rPr>
          <w:b/>
          <w:bCs/>
          <w:sz w:val="28"/>
          <w:szCs w:val="28"/>
        </w:rPr>
        <w:t xml:space="preserve">Week 3 Report</w:t>
      </w:r>
    </w:p>
    <w:p>
      <w:pPr>
        <w:spacing w:after="320"/>
        <w:jc w:val="center"/>
      </w:pPr>
      <w:r>
        <w:rPr>
          <w:b/>
          <w:bCs/>
          <w:sz w:val="24"/>
          <w:szCs w:val="24"/>
        </w:rPr>
        <w:t xml:space="preserve">Advanced Data Analysis and Visualization in Logistics</w:t>
      </w:r>
    </w:p>
    <w:p>
      <w:pPr>
        <w:spacing w:after="400"/>
        <w:jc w:val="center"/>
      </w:pPr>
      <w:r>
        <w:rPr>
          <w:b/>
          <w:bCs/>
          <w:sz w:val="22"/>
          <w:szCs w:val="22"/>
        </w:rPr>
        <w:t xml:space="preserve">Project: E-commerce Delivery Optimization</w:t>
      </w:r>
    </w:p>
    <w:p>
      <w:pPr>
        <w:spacing w:after="80"/>
        <w:jc w:val="center"/>
      </w:pPr>
      <w:r>
        <w:rPr>
          <w:sz w:val="20"/>
          <w:szCs w:val="20"/>
        </w:rPr>
        <w:t xml:space="preserve">Submitted by</w:t>
      </w:r>
    </w:p>
    <w:p>
      <w:pPr>
        <w:spacing w:after="80"/>
        <w:jc w:val="center"/>
      </w:pPr>
      <w:r>
        <w:rPr>
          <w:b/>
          <w:bCs/>
          <w:sz w:val="22"/>
          <w:szCs w:val="22"/>
        </w:rPr>
        <w:t xml:space="preserve">Tripti Tiwari</w:t>
      </w:r>
    </w:p>
    <w:p>
      <w:pPr>
        <w:spacing w:after="320"/>
        <w:jc w:val="center"/>
      </w:pPr>
      <w:r>
        <w:rPr>
          <w:sz w:val="20"/>
          <w:szCs w:val="20"/>
        </w:rPr>
        <w:t xml:space="preserve">CSE – Artificial Intelligence &amp; Machine Learning</w:t>
      </w:r>
    </w:p>
    <w:p>
      <w:pPr>
        <w:spacing w:after="80"/>
        <w:jc w:val="center"/>
      </w:pPr>
      <w:r>
        <w:rPr>
          <w:sz w:val="20"/>
          <w:szCs w:val="20"/>
        </w:rPr>
        <w:t xml:space="preserve">Internship Period: 30 July 2026 – 27 August 2026</w:t>
      </w:r>
    </w:p>
    <w:p>
      <w:pPr>
        <w:spacing w:after="320"/>
        <w:jc w:val="center"/>
      </w:pPr>
      <w:r>
        <w:rPr>
          <w:sz w:val="20"/>
          <w:szCs w:val="20"/>
        </w:rPr>
        <w:t xml:space="preserve">Week 3 Focus: Exploratory Data Analysis, Visualization &amp; Analytical Insights</w:t>
      </w:r>
    </w:p>
    <w:p>
      <w:pPr>
        <w:jc w:val="center"/>
      </w:pPr>
      <w:r>
        <w:rPr>
          <w:b/>
          <w:bCs/>
          <w:sz w:val="20"/>
          <w:szCs w:val="20"/>
        </w:rPr>
        <w:t xml:space="preserve">Repository: logistics-data-analyst-internship</w:t>
      </w:r>
    </w:p>
    <w:p>
      <w:r>
        <w:br w:type="page"/>
      </w:r>
    </w:p>
    <w:p>
      <w:pPr>
        <w:spacing w:after="160" w:before="320"/>
      </w:pPr>
      <w:r>
        <w:rPr>
          <w:b/>
          <w:bCs/>
          <w:color w:val="2E5C8A"/>
          <w:sz w:val="30"/>
          <w:szCs w:val="30"/>
        </w:rPr>
        <w:t xml:space="preserve">1. Introduction</w:t>
      </w:r>
    </w:p>
    <w:p>
      <w:pPr>
        <w:spacing w:after="160"/>
        <w:jc w:val="both"/>
      </w:pPr>
      <w:r>
        <w:rPr>
          <w:sz w:val="22"/>
          <w:szCs w:val="22"/>
        </w:rPr>
        <w:t xml:space="preserve">Following the data collection and preprocessing work completed in Week 2, this Week 3 task moves into exploratory data analysis (EDA) and visualization. The quality of any logistics decision depends on how well the underlying patterns in delivery time, cost, and operational performance are understood, and visualization is the primary tool for surfacing those patterns quickly and reliably.</w:t>
      </w:r>
    </w:p>
    <w:p>
      <w:pPr>
        <w:spacing w:after="160"/>
        <w:jc w:val="both"/>
      </w:pPr>
      <w:r>
        <w:rPr>
          <w:sz w:val="22"/>
          <w:szCs w:val="22"/>
        </w:rPr>
        <w:t xml:space="preserve">The objective of this Week 3 task was to analyze a logistics dataset in depth using Python, calculate descriptive and relational statistics, and produce a set of visualizations that explain operational performance across transport modes and regions. Since a cleaned real-world extract was not available for this stage, a hypothetical but realistic logistics dataset of 1,200 shipments was simulated, carrying forward the same field definitions and data-quality principles established in Week 2, and extending them with delivery, cost, and satisfaction metrics suited to deeper analysis.</w:t>
      </w:r>
    </w:p>
    <w:p>
      <w:pPr>
        <w:spacing w:after="160" w:before="320"/>
      </w:pPr>
      <w:r>
        <w:rPr>
          <w:b/>
          <w:bCs/>
          <w:color w:val="2E5C8A"/>
          <w:sz w:val="30"/>
          <w:szCs w:val="30"/>
        </w:rPr>
        <w:t xml:space="preserve">2. Objectives</w:t>
      </w:r>
    </w:p>
    <w:p>
      <w:pPr>
        <w:pStyle w:val="ListParagraph"/>
        <w:numPr>
          <w:ilvl w:val="0"/>
          <w:numId w:val="1"/>
        </w:numPr>
        <w:spacing w:after="80"/>
      </w:pPr>
      <w:r>
        <w:rPr>
          <w:sz w:val="22"/>
          <w:szCs w:val="22"/>
        </w:rPr>
        <w:t xml:space="preserve">Simulate a hypothetical logistics dataset with variables suitable for delivery and cost analysis.</w:t>
      </w:r>
    </w:p>
    <w:p>
      <w:pPr>
        <w:pStyle w:val="ListParagraph"/>
        <w:numPr>
          <w:ilvl w:val="0"/>
          <w:numId w:val="1"/>
        </w:numPr>
        <w:spacing w:after="80"/>
      </w:pPr>
      <w:r>
        <w:rPr>
          <w:sz w:val="22"/>
          <w:szCs w:val="22"/>
        </w:rPr>
        <w:t xml:space="preserve">Conduct exploratory data analysis: central tendency, distribution, and correlation of key metrics.</w:t>
      </w:r>
    </w:p>
    <w:p>
      <w:pPr>
        <w:pStyle w:val="ListParagraph"/>
        <w:numPr>
          <w:ilvl w:val="0"/>
          <w:numId w:val="1"/>
        </w:numPr>
        <w:spacing w:after="80"/>
      </w:pPr>
      <w:r>
        <w:rPr>
          <w:sz w:val="22"/>
          <w:szCs w:val="22"/>
        </w:rPr>
        <w:t xml:space="preserve">Segment performance by transport mode and region to identify operational differences.</w:t>
      </w:r>
    </w:p>
    <w:p>
      <w:pPr>
        <w:pStyle w:val="ListParagraph"/>
        <w:numPr>
          <w:ilvl w:val="0"/>
          <w:numId w:val="1"/>
        </w:numPr>
        <w:spacing w:after="80"/>
      </w:pPr>
      <w:r>
        <w:rPr>
          <w:sz w:val="22"/>
          <w:szCs w:val="22"/>
        </w:rPr>
        <w:t xml:space="preserve">Produce multiple visualizations using matplotlib and seaborn, each justified by the pattern it reveals.</w:t>
      </w:r>
    </w:p>
    <w:p>
      <w:pPr>
        <w:pStyle w:val="ListParagraph"/>
        <w:numPr>
          <w:ilvl w:val="0"/>
          <w:numId w:val="1"/>
        </w:numPr>
        <w:spacing w:after="80"/>
      </w:pPr>
      <w:r>
        <w:rPr>
          <w:sz w:val="22"/>
          <w:szCs w:val="22"/>
        </w:rPr>
        <w:t xml:space="preserve">Interpret each visualization in terms of logistics performance, cost drivers, and bottlenecks.</w:t>
      </w:r>
    </w:p>
    <w:p>
      <w:pPr>
        <w:pStyle w:val="ListParagraph"/>
        <w:numPr>
          <w:ilvl w:val="0"/>
          <w:numId w:val="1"/>
        </w:numPr>
        <w:spacing w:after="80"/>
      </w:pPr>
      <w:r>
        <w:rPr>
          <w:sz w:val="22"/>
          <w:szCs w:val="22"/>
        </w:rPr>
        <w:t xml:space="preserve">Translate analytical findings into concrete recommendations for the next stage of the project.</w:t>
      </w:r>
    </w:p>
    <w:p>
      <w:pPr>
        <w:spacing w:after="160" w:before="320"/>
      </w:pPr>
      <w:r>
        <w:rPr>
          <w:b/>
          <w:bCs/>
          <w:color w:val="2E5C8A"/>
          <w:sz w:val="30"/>
          <w:szCs w:val="30"/>
        </w:rPr>
        <w:t xml:space="preserve">3. Dataset Description</w:t>
      </w:r>
    </w:p>
    <w:p>
      <w:pPr>
        <w:spacing w:after="160"/>
        <w:jc w:val="both"/>
      </w:pPr>
      <w:r>
        <w:rPr>
          <w:sz w:val="22"/>
          <w:szCs w:val="22"/>
        </w:rPr>
        <w:t xml:space="preserve">The dataset represents 1,200 shipments handled by a regional logistics operation over one year (2025), spanning five regions, four transport modes, and five warehouses. Fields were designed to reflect realistic logistics relationships — for example, Air shipments are faster but costlier, Road shipments are the most frequent but carry higher delay risk, and delivery delays reduce customer satisfaction.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700"/>
      </w:tblGrid>
      <w:tr>
        <w:trPr>
          <w:tblHeader/>
        </w:trPr>
        <w:tc>
          <w:tcPr>
            <w:tcW w:type="dxa" w:w="2600"/>
            <w:tcBorders>
              <w:top w:val="single" w:color="D9D9D9" w:sz="2"/>
              <w:left w:val="none" w:color="FFFFFF" w:sz="0"/>
              <w:bottom w:val="single" w:color="D9D9D9" w:sz="2"/>
              <w:right w:val="none" w:color="FFFFFF" w:sz="0"/>
            </w:tcBorders>
            <w:shd w:fill="D9E2F3" w:val="clear"/>
          </w:tcPr>
          <w:p>
            <w:r>
              <w:rPr>
                <w:b/>
                <w:bCs/>
                <w:sz w:val="20"/>
                <w:szCs w:val="20"/>
              </w:rPr>
              <w:t xml:space="preserve">Field</w:t>
            </w:r>
          </w:p>
        </w:tc>
        <w:tc>
          <w:tcPr>
            <w:tcW w:type="dxa" w:w="5300"/>
            <w:tcBorders>
              <w:top w:val="single" w:color="D9D9D9" w:sz="2"/>
              <w:left w:val="none" w:color="FFFFFF" w:sz="0"/>
              <w:bottom w:val="single" w:color="D9D9D9" w:sz="2"/>
              <w:right w:val="none" w:color="FFFFFF" w:sz="0"/>
            </w:tcBorders>
            <w:shd w:fill="D9E2F3" w:val="clear"/>
          </w:tcPr>
          <w:p>
            <w:r>
              <w:rPr>
                <w:b/>
                <w:bCs/>
                <w:sz w:val="20"/>
                <w:szCs w:val="20"/>
              </w:rPr>
              <w:t xml:space="preserve">Description</w:t>
            </w:r>
          </w:p>
        </w:tc>
        <w:tc>
          <w:tcPr>
            <w:tcW w:type="dxa" w:w="1700"/>
            <w:tcBorders>
              <w:top w:val="single" w:color="D9D9D9" w:sz="2"/>
              <w:left w:val="none" w:color="FFFFFF" w:sz="0"/>
              <w:bottom w:val="single" w:color="D9D9D9" w:sz="2"/>
              <w:right w:val="none" w:color="FFFFFF" w:sz="0"/>
            </w:tcBorders>
            <w:shd w:fill="D9E2F3" w:val="clear"/>
          </w:tcPr>
          <w:p>
            <w:r>
              <w:rPr>
                <w:b/>
                <w:bCs/>
                <w:sz w:val="20"/>
                <w:szCs w:val="20"/>
              </w:rPr>
              <w:t xml:space="preserve">Data Type</w:t>
            </w:r>
          </w:p>
        </w:tc>
      </w:tr>
      <w:tr>
        <w:tc>
          <w:tcPr>
            <w:tcW w:type="dxa" w:w="2600"/>
            <w:tcBorders>
              <w:top w:val="single" w:color="D9D9D9" w:sz="2"/>
              <w:left w:val="none" w:color="FFFFFF" w:sz="0"/>
              <w:bottom w:val="single" w:color="D9D9D9" w:sz="2"/>
              <w:right w:val="none" w:color="FFFFFF" w:sz="0"/>
            </w:tcBorders>
          </w:tcPr>
          <w:p>
            <w:r>
              <w:rPr>
                <w:sz w:val="20"/>
                <w:szCs w:val="20"/>
              </w:rPr>
              <w:t xml:space="preserve">shipment_id</w:t>
            </w:r>
          </w:p>
        </w:tc>
        <w:tc>
          <w:tcPr>
            <w:tcW w:type="dxa" w:w="5300"/>
            <w:tcBorders>
              <w:top w:val="single" w:color="D9D9D9" w:sz="2"/>
              <w:left w:val="none" w:color="FFFFFF" w:sz="0"/>
              <w:bottom w:val="single" w:color="D9D9D9" w:sz="2"/>
              <w:right w:val="none" w:color="FFFFFF" w:sz="0"/>
            </w:tcBorders>
          </w:tcPr>
          <w:p>
            <w:r>
              <w:rPr>
                <w:sz w:val="20"/>
                <w:szCs w:val="20"/>
              </w:rPr>
              <w:t xml:space="preserve">Unique identifier for each shipment</w:t>
            </w:r>
          </w:p>
        </w:tc>
        <w:tc>
          <w:tcPr>
            <w:tcW w:type="dxa" w:w="1700"/>
            <w:tcBorders>
              <w:top w:val="single" w:color="D9D9D9" w:sz="2"/>
              <w:left w:val="none" w:color="FFFFFF" w:sz="0"/>
              <w:bottom w:val="single" w:color="D9D9D9" w:sz="2"/>
              <w:right w:val="none" w:color="FFFFFF" w:sz="0"/>
            </w:tcBorders>
          </w:tcPr>
          <w:p>
            <w:r>
              <w:rPr>
                <w:sz w:val="20"/>
                <w:szCs w:val="20"/>
              </w:rPr>
              <w:t xml:space="preserve">String</w:t>
            </w:r>
          </w:p>
        </w:tc>
      </w:tr>
      <w:tr>
        <w:tc>
          <w:tcPr>
            <w:tcW w:type="dxa" w:w="2600"/>
            <w:tcBorders>
              <w:top w:val="single" w:color="D9D9D9" w:sz="2"/>
              <w:left w:val="none" w:color="FFFFFF" w:sz="0"/>
              <w:bottom w:val="single" w:color="D9D9D9" w:sz="2"/>
              <w:right w:val="none" w:color="FFFFFF" w:sz="0"/>
            </w:tcBorders>
          </w:tcPr>
          <w:p>
            <w:r>
              <w:rPr>
                <w:sz w:val="20"/>
                <w:szCs w:val="20"/>
              </w:rPr>
              <w:t xml:space="preserve">date</w:t>
            </w:r>
          </w:p>
        </w:tc>
        <w:tc>
          <w:tcPr>
            <w:tcW w:type="dxa" w:w="5300"/>
            <w:tcBorders>
              <w:top w:val="single" w:color="D9D9D9" w:sz="2"/>
              <w:left w:val="none" w:color="FFFFFF" w:sz="0"/>
              <w:bottom w:val="single" w:color="D9D9D9" w:sz="2"/>
              <w:right w:val="none" w:color="FFFFFF" w:sz="0"/>
            </w:tcBorders>
          </w:tcPr>
          <w:p>
            <w:r>
              <w:rPr>
                <w:sz w:val="20"/>
                <w:szCs w:val="20"/>
              </w:rPr>
              <w:t xml:space="preserve">Date the shipment was dispatched</w:t>
            </w:r>
          </w:p>
        </w:tc>
        <w:tc>
          <w:tcPr>
            <w:tcW w:type="dxa" w:w="1700"/>
            <w:tcBorders>
              <w:top w:val="single" w:color="D9D9D9" w:sz="2"/>
              <w:left w:val="none" w:color="FFFFFF" w:sz="0"/>
              <w:bottom w:val="single" w:color="D9D9D9" w:sz="2"/>
              <w:right w:val="none" w:color="FFFFFF" w:sz="0"/>
            </w:tcBorders>
          </w:tcPr>
          <w:p>
            <w:r>
              <w:rPr>
                <w:sz w:val="20"/>
                <w:szCs w:val="20"/>
              </w:rPr>
              <w:t xml:space="preserve">Date</w:t>
            </w:r>
          </w:p>
        </w:tc>
      </w:tr>
      <w:tr>
        <w:tc>
          <w:tcPr>
            <w:tcW w:type="dxa" w:w="2600"/>
            <w:tcBorders>
              <w:top w:val="single" w:color="D9D9D9" w:sz="2"/>
              <w:left w:val="none" w:color="FFFFFF" w:sz="0"/>
              <w:bottom w:val="single" w:color="D9D9D9" w:sz="2"/>
              <w:right w:val="none" w:color="FFFFFF" w:sz="0"/>
            </w:tcBorders>
          </w:tcPr>
          <w:p>
            <w:r>
              <w:rPr>
                <w:sz w:val="20"/>
                <w:szCs w:val="20"/>
              </w:rPr>
              <w:t xml:space="preserve">region</w:t>
            </w:r>
          </w:p>
        </w:tc>
        <w:tc>
          <w:tcPr>
            <w:tcW w:type="dxa" w:w="5300"/>
            <w:tcBorders>
              <w:top w:val="single" w:color="D9D9D9" w:sz="2"/>
              <w:left w:val="none" w:color="FFFFFF" w:sz="0"/>
              <w:bottom w:val="single" w:color="D9D9D9" w:sz="2"/>
              <w:right w:val="none" w:color="FFFFFF" w:sz="0"/>
            </w:tcBorders>
          </w:tcPr>
          <w:p>
            <w:r>
              <w:rPr>
                <w:sz w:val="20"/>
                <w:szCs w:val="20"/>
              </w:rPr>
              <w:t xml:space="preserve">Destination region</w:t>
            </w:r>
          </w:p>
        </w:tc>
        <w:tc>
          <w:tcPr>
            <w:tcW w:type="dxa" w:w="1700"/>
            <w:tcBorders>
              <w:top w:val="single" w:color="D9D9D9" w:sz="2"/>
              <w:left w:val="none" w:color="FFFFFF" w:sz="0"/>
              <w:bottom w:val="single" w:color="D9D9D9" w:sz="2"/>
              <w:right w:val="none" w:color="FFFFFF" w:sz="0"/>
            </w:tcBorders>
          </w:tcPr>
          <w:p>
            <w:r>
              <w:rPr>
                <w:sz w:val="20"/>
                <w:szCs w:val="20"/>
              </w:rPr>
              <w:t xml:space="preserve">Categorical</w:t>
            </w:r>
          </w:p>
        </w:tc>
      </w:tr>
      <w:tr>
        <w:tc>
          <w:tcPr>
            <w:tcW w:type="dxa" w:w="2600"/>
            <w:tcBorders>
              <w:top w:val="single" w:color="D9D9D9" w:sz="2"/>
              <w:left w:val="none" w:color="FFFFFF" w:sz="0"/>
              <w:bottom w:val="single" w:color="D9D9D9" w:sz="2"/>
              <w:right w:val="none" w:color="FFFFFF" w:sz="0"/>
            </w:tcBorders>
          </w:tcPr>
          <w:p>
            <w:r>
              <w:rPr>
                <w:sz w:val="20"/>
                <w:szCs w:val="20"/>
              </w:rPr>
              <w:t xml:space="preserve">warehouse</w:t>
            </w:r>
          </w:p>
        </w:tc>
        <w:tc>
          <w:tcPr>
            <w:tcW w:type="dxa" w:w="5300"/>
            <w:tcBorders>
              <w:top w:val="single" w:color="D9D9D9" w:sz="2"/>
              <w:left w:val="none" w:color="FFFFFF" w:sz="0"/>
              <w:bottom w:val="single" w:color="D9D9D9" w:sz="2"/>
              <w:right w:val="none" w:color="FFFFFF" w:sz="0"/>
            </w:tcBorders>
          </w:tcPr>
          <w:p>
            <w:r>
              <w:rPr>
                <w:sz w:val="20"/>
                <w:szCs w:val="20"/>
              </w:rPr>
              <w:t xml:space="preserve">Origin warehouse</w:t>
            </w:r>
          </w:p>
        </w:tc>
        <w:tc>
          <w:tcPr>
            <w:tcW w:type="dxa" w:w="1700"/>
            <w:tcBorders>
              <w:top w:val="single" w:color="D9D9D9" w:sz="2"/>
              <w:left w:val="none" w:color="FFFFFF" w:sz="0"/>
              <w:bottom w:val="single" w:color="D9D9D9" w:sz="2"/>
              <w:right w:val="none" w:color="FFFFFF" w:sz="0"/>
            </w:tcBorders>
          </w:tcPr>
          <w:p>
            <w:r>
              <w:rPr>
                <w:sz w:val="20"/>
                <w:szCs w:val="20"/>
              </w:rPr>
              <w:t xml:space="preserve">Categorical</w:t>
            </w:r>
          </w:p>
        </w:tc>
      </w:tr>
      <w:tr>
        <w:tc>
          <w:tcPr>
            <w:tcW w:type="dxa" w:w="2600"/>
            <w:tcBorders>
              <w:top w:val="single" w:color="D9D9D9" w:sz="2"/>
              <w:left w:val="none" w:color="FFFFFF" w:sz="0"/>
              <w:bottom w:val="single" w:color="D9D9D9" w:sz="2"/>
              <w:right w:val="none" w:color="FFFFFF" w:sz="0"/>
            </w:tcBorders>
          </w:tcPr>
          <w:p>
            <w:r>
              <w:rPr>
                <w:sz w:val="20"/>
                <w:szCs w:val="20"/>
              </w:rPr>
              <w:t xml:space="preserve">transport_mode</w:t>
            </w:r>
          </w:p>
        </w:tc>
        <w:tc>
          <w:tcPr>
            <w:tcW w:type="dxa" w:w="5300"/>
            <w:tcBorders>
              <w:top w:val="single" w:color="D9D9D9" w:sz="2"/>
              <w:left w:val="none" w:color="FFFFFF" w:sz="0"/>
              <w:bottom w:val="single" w:color="D9D9D9" w:sz="2"/>
              <w:right w:val="none" w:color="FFFFFF" w:sz="0"/>
            </w:tcBorders>
          </w:tcPr>
          <w:p>
            <w:r>
              <w:rPr>
                <w:sz w:val="20"/>
                <w:szCs w:val="20"/>
              </w:rPr>
              <w:t xml:space="preserve">Road, Rail, Air or Sea</w:t>
            </w:r>
          </w:p>
        </w:tc>
        <w:tc>
          <w:tcPr>
            <w:tcW w:type="dxa" w:w="1700"/>
            <w:tcBorders>
              <w:top w:val="single" w:color="D9D9D9" w:sz="2"/>
              <w:left w:val="none" w:color="FFFFFF" w:sz="0"/>
              <w:bottom w:val="single" w:color="D9D9D9" w:sz="2"/>
              <w:right w:val="none" w:color="FFFFFF" w:sz="0"/>
            </w:tcBorders>
          </w:tcPr>
          <w:p>
            <w:r>
              <w:rPr>
                <w:sz w:val="20"/>
                <w:szCs w:val="20"/>
              </w:rPr>
              <w:t xml:space="preserve">Categorical</w:t>
            </w:r>
          </w:p>
        </w:tc>
      </w:tr>
      <w:tr>
        <w:tc>
          <w:tcPr>
            <w:tcW w:type="dxa" w:w="2600"/>
            <w:tcBorders>
              <w:top w:val="single" w:color="D9D9D9" w:sz="2"/>
              <w:left w:val="none" w:color="FFFFFF" w:sz="0"/>
              <w:bottom w:val="single" w:color="D9D9D9" w:sz="2"/>
              <w:right w:val="none" w:color="FFFFFF" w:sz="0"/>
            </w:tcBorders>
          </w:tcPr>
          <w:p>
            <w:r>
              <w:rPr>
                <w:sz w:val="20"/>
                <w:szCs w:val="20"/>
              </w:rPr>
              <w:t xml:space="preserve">distance_km</w:t>
            </w:r>
          </w:p>
        </w:tc>
        <w:tc>
          <w:tcPr>
            <w:tcW w:type="dxa" w:w="5300"/>
            <w:tcBorders>
              <w:top w:val="single" w:color="D9D9D9" w:sz="2"/>
              <w:left w:val="none" w:color="FFFFFF" w:sz="0"/>
              <w:bottom w:val="single" w:color="D9D9D9" w:sz="2"/>
              <w:right w:val="none" w:color="FFFFFF" w:sz="0"/>
            </w:tcBorders>
          </w:tcPr>
          <w:p>
            <w:r>
              <w:rPr>
                <w:sz w:val="20"/>
                <w:szCs w:val="20"/>
              </w:rPr>
              <w:t xml:space="preserve">Distance travelled in kilometers</w:t>
            </w:r>
          </w:p>
        </w:tc>
        <w:tc>
          <w:tcPr>
            <w:tcW w:type="dxa" w:w="1700"/>
            <w:tcBorders>
              <w:top w:val="single" w:color="D9D9D9" w:sz="2"/>
              <w:left w:val="none" w:color="FFFFFF" w:sz="0"/>
              <w:bottom w:val="single" w:color="D9D9D9" w:sz="2"/>
              <w:right w:val="none" w:color="FFFFFF" w:sz="0"/>
            </w:tcBorders>
          </w:tcPr>
          <w:p>
            <w:r>
              <w:rPr>
                <w:sz w:val="20"/>
                <w:szCs w:val="20"/>
              </w:rPr>
              <w:t xml:space="preserve">Numeric</w:t>
            </w:r>
          </w:p>
        </w:tc>
      </w:tr>
      <w:tr>
        <w:tc>
          <w:tcPr>
            <w:tcW w:type="dxa" w:w="2600"/>
            <w:tcBorders>
              <w:top w:val="single" w:color="D9D9D9" w:sz="2"/>
              <w:left w:val="none" w:color="FFFFFF" w:sz="0"/>
              <w:bottom w:val="single" w:color="D9D9D9" w:sz="2"/>
              <w:right w:val="none" w:color="FFFFFF" w:sz="0"/>
            </w:tcBorders>
          </w:tcPr>
          <w:p>
            <w:r>
              <w:rPr>
                <w:sz w:val="20"/>
                <w:szCs w:val="20"/>
              </w:rPr>
              <w:t xml:space="preserve">shipment_volume_kg</w:t>
            </w:r>
          </w:p>
        </w:tc>
        <w:tc>
          <w:tcPr>
            <w:tcW w:type="dxa" w:w="5300"/>
            <w:tcBorders>
              <w:top w:val="single" w:color="D9D9D9" w:sz="2"/>
              <w:left w:val="none" w:color="FFFFFF" w:sz="0"/>
              <w:bottom w:val="single" w:color="D9D9D9" w:sz="2"/>
              <w:right w:val="none" w:color="FFFFFF" w:sz="0"/>
            </w:tcBorders>
          </w:tcPr>
          <w:p>
            <w:r>
              <w:rPr>
                <w:sz w:val="20"/>
                <w:szCs w:val="20"/>
              </w:rPr>
              <w:t xml:space="preserve">Weight of shipment in kilograms</w:t>
            </w:r>
          </w:p>
        </w:tc>
        <w:tc>
          <w:tcPr>
            <w:tcW w:type="dxa" w:w="1700"/>
            <w:tcBorders>
              <w:top w:val="single" w:color="D9D9D9" w:sz="2"/>
              <w:left w:val="none" w:color="FFFFFF" w:sz="0"/>
              <w:bottom w:val="single" w:color="D9D9D9" w:sz="2"/>
              <w:right w:val="none" w:color="FFFFFF" w:sz="0"/>
            </w:tcBorders>
          </w:tcPr>
          <w:p>
            <w:r>
              <w:rPr>
                <w:sz w:val="20"/>
                <w:szCs w:val="20"/>
              </w:rPr>
              <w:t xml:space="preserve">Numeric</w:t>
            </w:r>
          </w:p>
        </w:tc>
      </w:tr>
      <w:tr>
        <w:tc>
          <w:tcPr>
            <w:tcW w:type="dxa" w:w="2600"/>
            <w:tcBorders>
              <w:top w:val="single" w:color="D9D9D9" w:sz="2"/>
              <w:left w:val="none" w:color="FFFFFF" w:sz="0"/>
              <w:bottom w:val="single" w:color="D9D9D9" w:sz="2"/>
              <w:right w:val="none" w:color="FFFFFF" w:sz="0"/>
            </w:tcBorders>
          </w:tcPr>
          <w:p>
            <w:r>
              <w:rPr>
                <w:sz w:val="20"/>
                <w:szCs w:val="20"/>
              </w:rPr>
              <w:t xml:space="preserve">promised_delivery_days</w:t>
            </w:r>
          </w:p>
        </w:tc>
        <w:tc>
          <w:tcPr>
            <w:tcW w:type="dxa" w:w="5300"/>
            <w:tcBorders>
              <w:top w:val="single" w:color="D9D9D9" w:sz="2"/>
              <w:left w:val="none" w:color="FFFFFF" w:sz="0"/>
              <w:bottom w:val="single" w:color="D9D9D9" w:sz="2"/>
              <w:right w:val="none" w:color="FFFFFF" w:sz="0"/>
            </w:tcBorders>
          </w:tcPr>
          <w:p>
            <w:r>
              <w:rPr>
                <w:sz w:val="20"/>
                <w:szCs w:val="20"/>
              </w:rPr>
              <w:t xml:space="preserve">SLA-committed delivery time</w:t>
            </w:r>
          </w:p>
        </w:tc>
        <w:tc>
          <w:tcPr>
            <w:tcW w:type="dxa" w:w="1700"/>
            <w:tcBorders>
              <w:top w:val="single" w:color="D9D9D9" w:sz="2"/>
              <w:left w:val="none" w:color="FFFFFF" w:sz="0"/>
              <w:bottom w:val="single" w:color="D9D9D9" w:sz="2"/>
              <w:right w:val="none" w:color="FFFFFF" w:sz="0"/>
            </w:tcBorders>
          </w:tcPr>
          <w:p>
            <w:r>
              <w:rPr>
                <w:sz w:val="20"/>
                <w:szCs w:val="20"/>
              </w:rPr>
              <w:t xml:space="preserve">Numeric</w:t>
            </w:r>
          </w:p>
        </w:tc>
      </w:tr>
      <w:tr>
        <w:tc>
          <w:tcPr>
            <w:tcW w:type="dxa" w:w="2600"/>
            <w:tcBorders>
              <w:top w:val="single" w:color="D9D9D9" w:sz="2"/>
              <w:left w:val="none" w:color="FFFFFF" w:sz="0"/>
              <w:bottom w:val="single" w:color="D9D9D9" w:sz="2"/>
              <w:right w:val="none" w:color="FFFFFF" w:sz="0"/>
            </w:tcBorders>
          </w:tcPr>
          <w:p>
            <w:r>
              <w:rPr>
                <w:sz w:val="20"/>
                <w:szCs w:val="20"/>
              </w:rPr>
              <w:t xml:space="preserve">actual_delivery_days</w:t>
            </w:r>
          </w:p>
        </w:tc>
        <w:tc>
          <w:tcPr>
            <w:tcW w:type="dxa" w:w="5300"/>
            <w:tcBorders>
              <w:top w:val="single" w:color="D9D9D9" w:sz="2"/>
              <w:left w:val="none" w:color="FFFFFF" w:sz="0"/>
              <w:bottom w:val="single" w:color="D9D9D9" w:sz="2"/>
              <w:right w:val="none" w:color="FFFFFF" w:sz="0"/>
            </w:tcBorders>
          </w:tcPr>
          <w:p>
            <w:r>
              <w:rPr>
                <w:sz w:val="20"/>
                <w:szCs w:val="20"/>
              </w:rPr>
              <w:t xml:space="preserve">Actual time taken to deliver</w:t>
            </w:r>
          </w:p>
        </w:tc>
        <w:tc>
          <w:tcPr>
            <w:tcW w:type="dxa" w:w="1700"/>
            <w:tcBorders>
              <w:top w:val="single" w:color="D9D9D9" w:sz="2"/>
              <w:left w:val="none" w:color="FFFFFF" w:sz="0"/>
              <w:bottom w:val="single" w:color="D9D9D9" w:sz="2"/>
              <w:right w:val="none" w:color="FFFFFF" w:sz="0"/>
            </w:tcBorders>
          </w:tcPr>
          <w:p>
            <w:r>
              <w:rPr>
                <w:sz w:val="20"/>
                <w:szCs w:val="20"/>
              </w:rPr>
              <w:t xml:space="preserve">Numeric</w:t>
            </w:r>
          </w:p>
        </w:tc>
      </w:tr>
      <w:tr>
        <w:tc>
          <w:tcPr>
            <w:tcW w:type="dxa" w:w="2600"/>
            <w:tcBorders>
              <w:top w:val="single" w:color="D9D9D9" w:sz="2"/>
              <w:left w:val="none" w:color="FFFFFF" w:sz="0"/>
              <w:bottom w:val="single" w:color="D9D9D9" w:sz="2"/>
              <w:right w:val="none" w:color="FFFFFF" w:sz="0"/>
            </w:tcBorders>
          </w:tcPr>
          <w:p>
            <w:r>
              <w:rPr>
                <w:sz w:val="20"/>
                <w:szCs w:val="20"/>
              </w:rPr>
              <w:t xml:space="preserve">delay_days</w:t>
            </w:r>
          </w:p>
        </w:tc>
        <w:tc>
          <w:tcPr>
            <w:tcW w:type="dxa" w:w="5300"/>
            <w:tcBorders>
              <w:top w:val="single" w:color="D9D9D9" w:sz="2"/>
              <w:left w:val="none" w:color="FFFFFF" w:sz="0"/>
              <w:bottom w:val="single" w:color="D9D9D9" w:sz="2"/>
              <w:right w:val="none" w:color="FFFFFF" w:sz="0"/>
            </w:tcBorders>
          </w:tcPr>
          <w:p>
            <w:r>
              <w:rPr>
                <w:sz w:val="20"/>
                <w:szCs w:val="20"/>
              </w:rPr>
              <w:t xml:space="preserve">Actual minus promised delivery time</w:t>
            </w:r>
          </w:p>
        </w:tc>
        <w:tc>
          <w:tcPr>
            <w:tcW w:type="dxa" w:w="1700"/>
            <w:tcBorders>
              <w:top w:val="single" w:color="D9D9D9" w:sz="2"/>
              <w:left w:val="none" w:color="FFFFFF" w:sz="0"/>
              <w:bottom w:val="single" w:color="D9D9D9" w:sz="2"/>
              <w:right w:val="none" w:color="FFFFFF" w:sz="0"/>
            </w:tcBorders>
          </w:tcPr>
          <w:p>
            <w:r>
              <w:rPr>
                <w:sz w:val="20"/>
                <w:szCs w:val="20"/>
              </w:rPr>
              <w:t xml:space="preserve">Numeric</w:t>
            </w:r>
          </w:p>
        </w:tc>
      </w:tr>
      <w:tr>
        <w:tc>
          <w:tcPr>
            <w:tcW w:type="dxa" w:w="2600"/>
            <w:tcBorders>
              <w:top w:val="single" w:color="D9D9D9" w:sz="2"/>
              <w:left w:val="none" w:color="FFFFFF" w:sz="0"/>
              <w:bottom w:val="single" w:color="D9D9D9" w:sz="2"/>
              <w:right w:val="none" w:color="FFFFFF" w:sz="0"/>
            </w:tcBorders>
          </w:tcPr>
          <w:p>
            <w:r>
              <w:rPr>
                <w:sz w:val="20"/>
                <w:szCs w:val="20"/>
              </w:rPr>
              <w:t xml:space="preserve">transportation_cost</w:t>
            </w:r>
          </w:p>
        </w:tc>
        <w:tc>
          <w:tcPr>
            <w:tcW w:type="dxa" w:w="5300"/>
            <w:tcBorders>
              <w:top w:val="single" w:color="D9D9D9" w:sz="2"/>
              <w:left w:val="none" w:color="FFFFFF" w:sz="0"/>
              <w:bottom w:val="single" w:color="D9D9D9" w:sz="2"/>
              <w:right w:val="none" w:color="FFFFFF" w:sz="0"/>
            </w:tcBorders>
          </w:tcPr>
          <w:p>
            <w:r>
              <w:rPr>
                <w:sz w:val="20"/>
                <w:szCs w:val="20"/>
              </w:rPr>
              <w:t xml:space="preserve">Total cost of shipment transport</w:t>
            </w:r>
          </w:p>
        </w:tc>
        <w:tc>
          <w:tcPr>
            <w:tcW w:type="dxa" w:w="1700"/>
            <w:tcBorders>
              <w:top w:val="single" w:color="D9D9D9" w:sz="2"/>
              <w:left w:val="none" w:color="FFFFFF" w:sz="0"/>
              <w:bottom w:val="single" w:color="D9D9D9" w:sz="2"/>
              <w:right w:val="none" w:color="FFFFFF" w:sz="0"/>
            </w:tcBorders>
          </w:tcPr>
          <w:p>
            <w:r>
              <w:rPr>
                <w:sz w:val="20"/>
                <w:szCs w:val="20"/>
              </w:rPr>
              <w:t xml:space="preserve">Numeric</w:t>
            </w:r>
          </w:p>
        </w:tc>
      </w:tr>
      <w:tr>
        <w:tc>
          <w:tcPr>
            <w:tcW w:type="dxa" w:w="2600"/>
            <w:tcBorders>
              <w:top w:val="single" w:color="D9D9D9" w:sz="2"/>
              <w:left w:val="none" w:color="FFFFFF" w:sz="0"/>
              <w:bottom w:val="single" w:color="D9D9D9" w:sz="2"/>
              <w:right w:val="none" w:color="FFFFFF" w:sz="0"/>
            </w:tcBorders>
          </w:tcPr>
          <w:p>
            <w:r>
              <w:rPr>
                <w:sz w:val="20"/>
                <w:szCs w:val="20"/>
              </w:rPr>
              <w:t xml:space="preserve">customer_satisfaction</w:t>
            </w:r>
          </w:p>
        </w:tc>
        <w:tc>
          <w:tcPr>
            <w:tcW w:type="dxa" w:w="5300"/>
            <w:tcBorders>
              <w:top w:val="single" w:color="D9D9D9" w:sz="2"/>
              <w:left w:val="none" w:color="FFFFFF" w:sz="0"/>
              <w:bottom w:val="single" w:color="D9D9D9" w:sz="2"/>
              <w:right w:val="none" w:color="FFFFFF" w:sz="0"/>
            </w:tcBorders>
          </w:tcPr>
          <w:p>
            <w:r>
              <w:rPr>
                <w:sz w:val="20"/>
                <w:szCs w:val="20"/>
              </w:rPr>
              <w:t xml:space="preserve">Customer rating (1-5)</w:t>
            </w:r>
          </w:p>
        </w:tc>
        <w:tc>
          <w:tcPr>
            <w:tcW w:type="dxa" w:w="1700"/>
            <w:tcBorders>
              <w:top w:val="single" w:color="D9D9D9" w:sz="2"/>
              <w:left w:val="none" w:color="FFFFFF" w:sz="0"/>
              <w:bottom w:val="single" w:color="D9D9D9" w:sz="2"/>
              <w:right w:val="none" w:color="FFFFFF" w:sz="0"/>
            </w:tcBorders>
          </w:tcPr>
          <w:p>
            <w:r>
              <w:rPr>
                <w:sz w:val="20"/>
                <w:szCs w:val="20"/>
              </w:rPr>
              <w:t xml:space="preserve">Numeric</w:t>
            </w:r>
          </w:p>
        </w:tc>
      </w:tr>
      <w:tr>
        <w:tc>
          <w:tcPr>
            <w:tcW w:type="dxa" w:w="2600"/>
            <w:tcBorders>
              <w:top w:val="single" w:color="D9D9D9" w:sz="2"/>
              <w:left w:val="none" w:color="FFFFFF" w:sz="0"/>
              <w:bottom w:val="single" w:color="D9D9D9" w:sz="2"/>
              <w:right w:val="none" w:color="FFFFFF" w:sz="0"/>
            </w:tcBorders>
          </w:tcPr>
          <w:p>
            <w:r>
              <w:rPr>
                <w:sz w:val="20"/>
                <w:szCs w:val="20"/>
              </w:rPr>
              <w:t xml:space="preserve">damaged_or_lost</w:t>
            </w:r>
          </w:p>
        </w:tc>
        <w:tc>
          <w:tcPr>
            <w:tcW w:type="dxa" w:w="5300"/>
            <w:tcBorders>
              <w:top w:val="single" w:color="D9D9D9" w:sz="2"/>
              <w:left w:val="none" w:color="FFFFFF" w:sz="0"/>
              <w:bottom w:val="single" w:color="D9D9D9" w:sz="2"/>
              <w:right w:val="none" w:color="FFFFFF" w:sz="0"/>
            </w:tcBorders>
          </w:tcPr>
          <w:p>
            <w:r>
              <w:rPr>
                <w:sz w:val="20"/>
                <w:szCs w:val="20"/>
              </w:rPr>
              <w:t xml:space="preserve">Whether shipment was damaged or lost</w:t>
            </w:r>
          </w:p>
        </w:tc>
        <w:tc>
          <w:tcPr>
            <w:tcW w:type="dxa" w:w="1700"/>
            <w:tcBorders>
              <w:top w:val="single" w:color="D9D9D9" w:sz="2"/>
              <w:left w:val="none" w:color="FFFFFF" w:sz="0"/>
              <w:bottom w:val="single" w:color="D9D9D9" w:sz="2"/>
              <w:right w:val="none" w:color="FFFFFF" w:sz="0"/>
            </w:tcBorders>
          </w:tcPr>
          <w:p>
            <w:r>
              <w:rPr>
                <w:sz w:val="20"/>
                <w:szCs w:val="20"/>
              </w:rPr>
              <w:t xml:space="preserve">Binary</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none" w:color="FFFFFF" w:sz="0"/>
              <w:bottom w:val="none" w:color="FFFFFF" w:sz="0"/>
              <w:right w:val="none" w:color="FFFFFF" w:sz="0"/>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mode_speed_factor = pd.Series(mode).map(</w:t>
            </w:r>
          </w:p>
          <w:p>
            <w:pPr>
              <w:spacing w:after="0"/>
            </w:pPr>
            <w:r>
              <w:rPr>
                <w:rFonts w:ascii="Consolas" w:cs="Consolas" w:eastAsia="Consolas" w:hAnsi="Consolas"/>
                <w:sz w:val="18"/>
                <w:szCs w:val="18"/>
              </w:rPr>
              <w:t xml:space="preserve">    {"Road": 0.012, "Rail": 0.008, "Air": 0.003, "Sea": 0.006}).values</w:t>
            </w:r>
          </w:p>
          <w:p>
            <w:pPr>
              <w:spacing w:after="0"/>
            </w:pPr>
            <w:r>
              <w:rPr>
                <w:rFonts w:ascii="Consolas" w:cs="Consolas" w:eastAsia="Consolas" w:hAnsi="Consolas"/>
                <w:sz w:val="18"/>
                <w:szCs w:val="18"/>
              </w:rPr>
              <w:t xml:space="preserve">base_delivery_time = distance_km * mode_speed_factor</w:t>
            </w:r>
          </w:p>
          <w:p>
            <w:pPr>
              <w:spacing w:after="0"/>
            </w:pPr>
            <w:r>
              <w:rPr>
                <w:rFonts w:ascii="Consolas" w:cs="Consolas" w:eastAsia="Consolas" w:hAnsi="Consolas"/>
                <w:sz w:val="18"/>
                <w:szCs w:val="18"/>
              </w:rPr>
              <w:t xml:space="preserve">delivery_time_days = np.clip(</w:t>
            </w:r>
          </w:p>
          <w:p>
            <w:pPr>
              <w:spacing w:after="0"/>
            </w:pPr>
            <w:r>
              <w:rPr>
                <w:rFonts w:ascii="Consolas" w:cs="Consolas" w:eastAsia="Consolas" w:hAnsi="Consolas"/>
                <w:sz w:val="18"/>
                <w:szCs w:val="18"/>
              </w:rPr>
              <w:t xml:space="preserve">    base_delivery_time + np.random.normal(0, 0.8, N)</w:t>
            </w:r>
          </w:p>
          <w:p>
            <w:pPr>
              <w:spacing w:after="0"/>
            </w:pPr>
            <w:r>
              <w:rPr>
                <w:rFonts w:ascii="Consolas" w:cs="Consolas" w:eastAsia="Consolas" w:hAnsi="Consolas"/>
                <w:sz w:val="18"/>
                <w:szCs w:val="18"/>
              </w:rPr>
              <w:t xml:space="preserve">    + np.random.uniform(0.5, 2, N), 0.5, None)</w:t>
            </w:r>
          </w:p>
        </w:tc>
      </w:tr>
    </w:tbl>
    <w:p>
      <w:r>
        <w:br w:type="page"/>
      </w:r>
    </w:p>
    <w:p>
      <w:pPr>
        <w:spacing w:after="160" w:before="320"/>
      </w:pPr>
      <w:r>
        <w:rPr>
          <w:b/>
          <w:bCs/>
          <w:color w:val="2E5C8A"/>
          <w:sz w:val="30"/>
          <w:szCs w:val="30"/>
        </w:rPr>
        <w:t xml:space="preserve">4. Exploratory Data Analysis</w:t>
      </w:r>
    </w:p>
    <w:p>
      <w:pPr>
        <w:spacing w:after="160"/>
        <w:jc w:val="both"/>
      </w:pPr>
      <w:r>
        <w:rPr>
          <w:sz w:val="22"/>
          <w:szCs w:val="22"/>
        </w:rPr>
        <w:t xml:space="preserve">Descriptive statistics were computed for all numeric fields to understand central tendency, spread, and skew. The table below summarizes the overall key performance indicators across all 1,200 shipments.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600"/>
        <w:gridCol w:w="4000"/>
      </w:tblGrid>
      <w:tr>
        <w:trPr>
          <w:tblHeader/>
        </w:trPr>
        <w:tc>
          <w:tcPr>
            <w:tcW w:type="dxa" w:w="5600"/>
            <w:tcBorders>
              <w:top w:val="single" w:color="D9D9D9" w:sz="2"/>
              <w:left w:val="none" w:color="FFFFFF" w:sz="0"/>
              <w:bottom w:val="single" w:color="D9D9D9" w:sz="2"/>
              <w:right w:val="none" w:color="FFFFFF" w:sz="0"/>
            </w:tcBorders>
            <w:shd w:fill="D9E2F3" w:val="clear"/>
          </w:tcPr>
          <w:p>
            <w:r>
              <w:rPr>
                <w:b/>
                <w:bCs/>
                <w:sz w:val="20"/>
                <w:szCs w:val="20"/>
              </w:rPr>
              <w:t xml:space="preserve">KPI</w:t>
            </w:r>
          </w:p>
        </w:tc>
        <w:tc>
          <w:tcPr>
            <w:tcW w:type="dxa" w:w="4000"/>
            <w:tcBorders>
              <w:top w:val="single" w:color="D9D9D9" w:sz="2"/>
              <w:left w:val="none" w:color="FFFFFF" w:sz="0"/>
              <w:bottom w:val="single" w:color="D9D9D9" w:sz="2"/>
              <w:right w:val="none" w:color="FFFFFF" w:sz="0"/>
            </w:tcBorders>
            <w:shd w:fill="D9E2F3" w:val="clear"/>
          </w:tcPr>
          <w:p>
            <w:r>
              <w:rPr>
                <w:b/>
                <w:bCs/>
                <w:sz w:val="20"/>
                <w:szCs w:val="20"/>
              </w:rPr>
              <w:t xml:space="preserve">Value</w:t>
            </w:r>
          </w:p>
        </w:tc>
      </w:tr>
      <w:tr>
        <w:tc>
          <w:tcPr>
            <w:tcW w:type="dxa" w:w="5600"/>
            <w:tcBorders>
              <w:top w:val="single" w:color="D9D9D9" w:sz="2"/>
              <w:left w:val="none" w:color="FFFFFF" w:sz="0"/>
              <w:bottom w:val="single" w:color="D9D9D9" w:sz="2"/>
              <w:right w:val="none" w:color="FFFFFF" w:sz="0"/>
            </w:tcBorders>
          </w:tcPr>
          <w:p>
            <w:r>
              <w:rPr>
                <w:sz w:val="20"/>
                <w:szCs w:val="20"/>
              </w:rPr>
              <w:t xml:space="preserve">Total Shipments</w:t>
            </w:r>
          </w:p>
        </w:tc>
        <w:tc>
          <w:tcPr>
            <w:tcW w:type="dxa" w:w="4000"/>
            <w:tcBorders>
              <w:top w:val="single" w:color="D9D9D9" w:sz="2"/>
              <w:left w:val="none" w:color="FFFFFF" w:sz="0"/>
              <w:bottom w:val="single" w:color="D9D9D9" w:sz="2"/>
              <w:right w:val="none" w:color="FFFFFF" w:sz="0"/>
            </w:tcBorders>
          </w:tcPr>
          <w:p>
            <w:r>
              <w:rPr>
                <w:sz w:val="20"/>
                <w:szCs w:val="20"/>
              </w:rPr>
              <w:t xml:space="preserve">1200</w:t>
            </w:r>
          </w:p>
        </w:tc>
      </w:tr>
      <w:tr>
        <w:tc>
          <w:tcPr>
            <w:tcW w:type="dxa" w:w="5600"/>
            <w:tcBorders>
              <w:top w:val="single" w:color="D9D9D9" w:sz="2"/>
              <w:left w:val="none" w:color="FFFFFF" w:sz="0"/>
              <w:bottom w:val="single" w:color="D9D9D9" w:sz="2"/>
              <w:right w:val="none" w:color="FFFFFF" w:sz="0"/>
            </w:tcBorders>
          </w:tcPr>
          <w:p>
            <w:r>
              <w:rPr>
                <w:sz w:val="20"/>
                <w:szCs w:val="20"/>
              </w:rPr>
              <w:t xml:space="preserve">% Shipments Delayed</w:t>
            </w:r>
          </w:p>
        </w:tc>
        <w:tc>
          <w:tcPr>
            <w:tcW w:type="dxa" w:w="4000"/>
            <w:tcBorders>
              <w:top w:val="single" w:color="D9D9D9" w:sz="2"/>
              <w:left w:val="none" w:color="FFFFFF" w:sz="0"/>
              <w:bottom w:val="single" w:color="D9D9D9" w:sz="2"/>
              <w:right w:val="none" w:color="FFFFFF" w:sz="0"/>
            </w:tcBorders>
          </w:tcPr>
          <w:p>
            <w:r>
              <w:rPr>
                <w:sz w:val="20"/>
                <w:szCs w:val="20"/>
              </w:rPr>
              <w:t xml:space="preserve">83.1%</w:t>
            </w:r>
          </w:p>
        </w:tc>
      </w:tr>
      <w:tr>
        <w:tc>
          <w:tcPr>
            <w:tcW w:type="dxa" w:w="5600"/>
            <w:tcBorders>
              <w:top w:val="single" w:color="D9D9D9" w:sz="2"/>
              <w:left w:val="none" w:color="FFFFFF" w:sz="0"/>
              <w:bottom w:val="single" w:color="D9D9D9" w:sz="2"/>
              <w:right w:val="none" w:color="FFFFFF" w:sz="0"/>
            </w:tcBorders>
          </w:tcPr>
          <w:p>
            <w:r>
              <w:rPr>
                <w:sz w:val="20"/>
                <w:szCs w:val="20"/>
              </w:rPr>
              <w:t xml:space="preserve">Avg. Delay (when delayed)</w:t>
            </w:r>
          </w:p>
        </w:tc>
        <w:tc>
          <w:tcPr>
            <w:tcW w:type="dxa" w:w="4000"/>
            <w:tcBorders>
              <w:top w:val="single" w:color="D9D9D9" w:sz="2"/>
              <w:left w:val="none" w:color="FFFFFF" w:sz="0"/>
              <w:bottom w:val="single" w:color="D9D9D9" w:sz="2"/>
              <w:right w:val="none" w:color="FFFFFF" w:sz="0"/>
            </w:tcBorders>
          </w:tcPr>
          <w:p>
            <w:r>
              <w:rPr>
                <w:sz w:val="20"/>
                <w:szCs w:val="20"/>
              </w:rPr>
              <w:t xml:space="preserve">2.02 days</w:t>
            </w:r>
          </w:p>
        </w:tc>
      </w:tr>
      <w:tr>
        <w:tc>
          <w:tcPr>
            <w:tcW w:type="dxa" w:w="5600"/>
            <w:tcBorders>
              <w:top w:val="single" w:color="D9D9D9" w:sz="2"/>
              <w:left w:val="none" w:color="FFFFFF" w:sz="0"/>
              <w:bottom w:val="single" w:color="D9D9D9" w:sz="2"/>
              <w:right w:val="none" w:color="FFFFFF" w:sz="0"/>
            </w:tcBorders>
          </w:tcPr>
          <w:p>
            <w:r>
              <w:rPr>
                <w:sz w:val="20"/>
                <w:szCs w:val="20"/>
              </w:rPr>
              <w:t xml:space="preserve">Avg. Transportation Cost</w:t>
            </w:r>
          </w:p>
        </w:tc>
        <w:tc>
          <w:tcPr>
            <w:tcW w:type="dxa" w:w="4000"/>
            <w:tcBorders>
              <w:top w:val="single" w:color="D9D9D9" w:sz="2"/>
              <w:left w:val="none" w:color="FFFFFF" w:sz="0"/>
              <w:bottom w:val="single" w:color="D9D9D9" w:sz="2"/>
              <w:right w:val="none" w:color="FFFFFF" w:sz="0"/>
            </w:tcBorders>
          </w:tcPr>
          <w:p>
            <w:r>
              <w:rPr>
                <w:sz w:val="20"/>
                <w:szCs w:val="20"/>
              </w:rPr>
              <w:t xml:space="preserve">Rs. 1066.66</w:t>
            </w:r>
          </w:p>
        </w:tc>
      </w:tr>
      <w:tr>
        <w:tc>
          <w:tcPr>
            <w:tcW w:type="dxa" w:w="5600"/>
            <w:tcBorders>
              <w:top w:val="single" w:color="D9D9D9" w:sz="2"/>
              <w:left w:val="none" w:color="FFFFFF" w:sz="0"/>
              <w:bottom w:val="single" w:color="D9D9D9" w:sz="2"/>
              <w:right w:val="none" w:color="FFFFFF" w:sz="0"/>
            </w:tcBorders>
          </w:tcPr>
          <w:p>
            <w:r>
              <w:rPr>
                <w:sz w:val="20"/>
                <w:szCs w:val="20"/>
              </w:rPr>
              <w:t xml:space="preserve">Avg. Customer Satisfaction</w:t>
            </w:r>
          </w:p>
        </w:tc>
        <w:tc>
          <w:tcPr>
            <w:tcW w:type="dxa" w:w="4000"/>
            <w:tcBorders>
              <w:top w:val="single" w:color="D9D9D9" w:sz="2"/>
              <w:left w:val="none" w:color="FFFFFF" w:sz="0"/>
              <w:bottom w:val="single" w:color="D9D9D9" w:sz="2"/>
              <w:right w:val="none" w:color="FFFFFF" w:sz="0"/>
            </w:tcBorders>
          </w:tcPr>
          <w:p>
            <w:r>
              <w:rPr>
                <w:sz w:val="20"/>
                <w:szCs w:val="20"/>
              </w:rPr>
              <w:t xml:space="preserve">4.0 / 5</w:t>
            </w:r>
          </w:p>
        </w:tc>
      </w:tr>
      <w:tr>
        <w:tc>
          <w:tcPr>
            <w:tcW w:type="dxa" w:w="5600"/>
            <w:tcBorders>
              <w:top w:val="single" w:color="D9D9D9" w:sz="2"/>
              <w:left w:val="none" w:color="FFFFFF" w:sz="0"/>
              <w:bottom w:val="single" w:color="D9D9D9" w:sz="2"/>
              <w:right w:val="none" w:color="FFFFFF" w:sz="0"/>
            </w:tcBorders>
          </w:tcPr>
          <w:p>
            <w:r>
              <w:rPr>
                <w:sz w:val="20"/>
                <w:szCs w:val="20"/>
              </w:rPr>
              <w:t xml:space="preserve">Damage / Loss Rate</w:t>
            </w:r>
          </w:p>
        </w:tc>
        <w:tc>
          <w:tcPr>
            <w:tcW w:type="dxa" w:w="4000"/>
            <w:tcBorders>
              <w:top w:val="single" w:color="D9D9D9" w:sz="2"/>
              <w:left w:val="none" w:color="FFFFFF" w:sz="0"/>
              <w:bottom w:val="single" w:color="D9D9D9" w:sz="2"/>
              <w:right w:val="none" w:color="FFFFFF" w:sz="0"/>
            </w:tcBorders>
          </w:tcPr>
          <w:p>
            <w:r>
              <w:rPr>
                <w:sz w:val="20"/>
                <w:szCs w:val="20"/>
              </w:rPr>
              <w:t xml:space="preserve">4.33%</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none" w:color="FFFFFF" w:sz="0"/>
              <w:bottom w:val="none" w:color="FFFFFF" w:sz="0"/>
              <w:right w:val="none" w:color="FFFFFF" w:sz="0"/>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summary = df[numeric_cols].describe().T</w:t>
            </w:r>
          </w:p>
          <w:p>
            <w:pPr>
              <w:spacing w:after="0"/>
            </w:pPr>
            <w:r>
              <w:rPr>
                <w:rFonts w:ascii="Consolas" w:cs="Consolas" w:eastAsia="Consolas" w:hAnsi="Consolas"/>
                <w:sz w:val="18"/>
                <w:szCs w:val="18"/>
              </w:rPr>
              <w:t xml:space="preserve">summary["median"] = df[numeric_cols].median()</w:t>
            </w:r>
          </w:p>
          <w:p>
            <w:pPr>
              <w:spacing w:after="0"/>
            </w:pPr>
            <w:r>
              <w:rPr>
                <w:rFonts w:ascii="Consolas" w:cs="Consolas" w:eastAsia="Consolas" w:hAnsi="Consolas"/>
                <w:sz w:val="18"/>
                <w:szCs w:val="18"/>
              </w:rPr>
              <w:t xml:space="preserve">summary["skew"] = df[numeric_cols].skew()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corr = df[numeric_cols].corr()</w:t>
            </w:r>
          </w:p>
          <w:p>
            <w:pPr>
              <w:spacing w:after="0"/>
            </w:pPr>
            <w:r>
              <w:rPr>
                <w:rFonts w:ascii="Consolas" w:cs="Consolas" w:eastAsia="Consolas" w:hAnsi="Consolas"/>
                <w:sz w:val="18"/>
                <w:szCs w:val="18"/>
              </w:rPr>
              <w:t xml:space="preserve">print(corr.round(2))</w:t>
            </w:r>
          </w:p>
        </w:tc>
      </w:tr>
    </w:tbl>
    <w:p>
      <w:pPr>
        <w:spacing w:after="160" w:before="320"/>
      </w:pPr>
      <w:r>
        <w:rPr>
          <w:b/>
          <w:bCs/>
          <w:color w:val="2E5C8A"/>
          <w:sz w:val="30"/>
          <w:szCs w:val="30"/>
        </w:rPr>
        <w:t xml:space="preserve">5. Performance by Transport Mode and Region</w:t>
      </w:r>
    </w:p>
    <w:p>
      <w:pPr>
        <w:spacing w:after="160"/>
        <w:jc w:val="both"/>
      </w:pPr>
      <w:r>
        <w:rPr>
          <w:sz w:val="22"/>
          <w:szCs w:val="22"/>
        </w:rPr>
        <w:t xml:space="preserve">Grouping the data by transport mode and region highlights where delay and cost differences concentrate.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800"/>
        <w:gridCol w:w="2000"/>
      </w:tblGrid>
      <w:tr>
        <w:trPr>
          <w:tblHeader/>
        </w:trPr>
        <w:tc>
          <w:tcPr>
            <w:tcW w:type="dxa" w:w="1800"/>
            <w:tcBorders>
              <w:top w:val="single" w:color="D9D9D9" w:sz="2"/>
              <w:left w:val="none" w:color="FFFFFF" w:sz="0"/>
              <w:bottom w:val="single" w:color="D9D9D9" w:sz="2"/>
              <w:right w:val="none" w:color="FFFFFF" w:sz="0"/>
            </w:tcBorders>
            <w:shd w:fill="D9E2F3" w:val="clear"/>
          </w:tcPr>
          <w:p>
            <w:r>
              <w:rPr>
                <w:b/>
                <w:bCs/>
                <w:sz w:val="20"/>
                <w:szCs w:val="20"/>
              </w:rPr>
              <w:t xml:space="preserve">Mode</w:t>
            </w:r>
          </w:p>
        </w:tc>
        <w:tc>
          <w:tcPr>
            <w:tcW w:type="dxa" w:w="1800"/>
            <w:tcBorders>
              <w:top w:val="single" w:color="D9D9D9" w:sz="2"/>
              <w:left w:val="none" w:color="FFFFFF" w:sz="0"/>
              <w:bottom w:val="single" w:color="D9D9D9" w:sz="2"/>
              <w:right w:val="none" w:color="FFFFFF" w:sz="0"/>
            </w:tcBorders>
            <w:shd w:fill="D9E2F3" w:val="clear"/>
          </w:tcPr>
          <w:p>
            <w:r>
              <w:rPr>
                <w:b/>
                <w:bCs/>
                <w:sz w:val="20"/>
                <w:szCs w:val="20"/>
              </w:rPr>
              <w:t xml:space="preserve">Shipments</w:t>
            </w:r>
          </w:p>
        </w:tc>
        <w:tc>
          <w:tcPr>
            <w:tcW w:type="dxa" w:w="2200"/>
            <w:tcBorders>
              <w:top w:val="single" w:color="D9D9D9" w:sz="2"/>
              <w:left w:val="none" w:color="FFFFFF" w:sz="0"/>
              <w:bottom w:val="single" w:color="D9D9D9" w:sz="2"/>
              <w:right w:val="none" w:color="FFFFFF" w:sz="0"/>
            </w:tcBorders>
            <w:shd w:fill="D9E2F3" w:val="clear"/>
          </w:tcPr>
          <w:p>
            <w:r>
              <w:rPr>
                <w:b/>
                <w:bCs/>
                <w:sz w:val="20"/>
                <w:szCs w:val="20"/>
              </w:rPr>
              <w:t xml:space="preserve">Avg Delay (days)</w:t>
            </w:r>
          </w:p>
        </w:tc>
        <w:tc>
          <w:tcPr>
            <w:tcW w:type="dxa" w:w="1800"/>
            <w:tcBorders>
              <w:top w:val="single" w:color="D9D9D9" w:sz="2"/>
              <w:left w:val="none" w:color="FFFFFF" w:sz="0"/>
              <w:bottom w:val="single" w:color="D9D9D9" w:sz="2"/>
              <w:right w:val="none" w:color="FFFFFF" w:sz="0"/>
            </w:tcBorders>
            <w:shd w:fill="D9E2F3" w:val="clear"/>
          </w:tcPr>
          <w:p>
            <w:r>
              <w:rPr>
                <w:b/>
                <w:bCs/>
                <w:sz w:val="20"/>
                <w:szCs w:val="20"/>
              </w:rPr>
              <w:t xml:space="preserve">% Delayed</w:t>
            </w:r>
          </w:p>
        </w:tc>
        <w:tc>
          <w:tcPr>
            <w:tcW w:type="dxa" w:w="2000"/>
            <w:tcBorders>
              <w:top w:val="single" w:color="D9D9D9" w:sz="2"/>
              <w:left w:val="none" w:color="FFFFFF" w:sz="0"/>
              <w:bottom w:val="single" w:color="D9D9D9" w:sz="2"/>
              <w:right w:val="none" w:color="FFFFFF" w:sz="0"/>
            </w:tcBorders>
            <w:shd w:fill="D9E2F3" w:val="clear"/>
          </w:tcPr>
          <w:p>
            <w:r>
              <w:rPr>
                <w:b/>
                <w:bCs/>
                <w:sz w:val="20"/>
                <w:szCs w:val="20"/>
              </w:rPr>
              <w:t xml:space="preserve">Avg Cost</w:t>
            </w:r>
          </w:p>
        </w:tc>
      </w:tr>
      <w:tr>
        <w:tc>
          <w:tcPr>
            <w:tcW w:type="dxa" w:w="1800"/>
            <w:tcBorders>
              <w:top w:val="single" w:color="D9D9D9" w:sz="2"/>
              <w:left w:val="none" w:color="FFFFFF" w:sz="0"/>
              <w:bottom w:val="single" w:color="D9D9D9" w:sz="2"/>
              <w:right w:val="none" w:color="FFFFFF" w:sz="0"/>
            </w:tcBorders>
          </w:tcPr>
          <w:p>
            <w:r>
              <w:rPr>
                <w:sz w:val="20"/>
                <w:szCs w:val="20"/>
              </w:rPr>
              <w:t xml:space="preserve">Air</w:t>
            </w:r>
          </w:p>
        </w:tc>
        <w:tc>
          <w:tcPr>
            <w:tcW w:type="dxa" w:w="1800"/>
            <w:tcBorders>
              <w:top w:val="single" w:color="D9D9D9" w:sz="2"/>
              <w:left w:val="none" w:color="FFFFFF" w:sz="0"/>
              <w:bottom w:val="single" w:color="D9D9D9" w:sz="2"/>
              <w:right w:val="none" w:color="FFFFFF" w:sz="0"/>
            </w:tcBorders>
          </w:tcPr>
          <w:p>
            <w:r>
              <w:rPr>
                <w:sz w:val="20"/>
                <w:szCs w:val="20"/>
              </w:rPr>
              <w:t xml:space="preserve">119</w:t>
            </w:r>
          </w:p>
        </w:tc>
        <w:tc>
          <w:tcPr>
            <w:tcW w:type="dxa" w:w="2200"/>
            <w:tcBorders>
              <w:top w:val="single" w:color="D9D9D9" w:sz="2"/>
              <w:left w:val="none" w:color="FFFFFF" w:sz="0"/>
              <w:bottom w:val="single" w:color="D9D9D9" w:sz="2"/>
              <w:right w:val="none" w:color="FFFFFF" w:sz="0"/>
            </w:tcBorders>
          </w:tcPr>
          <w:p>
            <w:r>
              <w:rPr>
                <w:sz w:val="20"/>
                <w:szCs w:val="20"/>
              </w:rPr>
              <w:t xml:space="preserve">0.53</w:t>
            </w:r>
          </w:p>
        </w:tc>
        <w:tc>
          <w:tcPr>
            <w:tcW w:type="dxa" w:w="1800"/>
            <w:tcBorders>
              <w:top w:val="single" w:color="D9D9D9" w:sz="2"/>
              <w:left w:val="none" w:color="FFFFFF" w:sz="0"/>
              <w:bottom w:val="single" w:color="D9D9D9" w:sz="2"/>
              <w:right w:val="none" w:color="FFFFFF" w:sz="0"/>
            </w:tcBorders>
          </w:tcPr>
          <w:p>
            <w:r>
              <w:rPr>
                <w:sz w:val="20"/>
                <w:szCs w:val="20"/>
              </w:rPr>
              <w:t xml:space="preserve">85.0%</w:t>
            </w:r>
          </w:p>
        </w:tc>
        <w:tc>
          <w:tcPr>
            <w:tcW w:type="dxa" w:w="2000"/>
            <w:tcBorders>
              <w:top w:val="single" w:color="D9D9D9" w:sz="2"/>
              <w:left w:val="none" w:color="FFFFFF" w:sz="0"/>
              <w:bottom w:val="single" w:color="D9D9D9" w:sz="2"/>
              <w:right w:val="none" w:color="FFFFFF" w:sz="0"/>
            </w:tcBorders>
          </w:tcPr>
          <w:p>
            <w:r>
              <w:rPr>
                <w:sz w:val="20"/>
                <w:szCs w:val="20"/>
              </w:rPr>
              <w:t xml:space="preserve">Rs. 2806.14</w:t>
            </w:r>
          </w:p>
        </w:tc>
      </w:tr>
      <w:tr>
        <w:tc>
          <w:tcPr>
            <w:tcW w:type="dxa" w:w="1800"/>
            <w:tcBorders>
              <w:top w:val="single" w:color="D9D9D9" w:sz="2"/>
              <w:left w:val="none" w:color="FFFFFF" w:sz="0"/>
              <w:bottom w:val="single" w:color="D9D9D9" w:sz="2"/>
              <w:right w:val="none" w:color="FFFFFF" w:sz="0"/>
            </w:tcBorders>
          </w:tcPr>
          <w:p>
            <w:r>
              <w:rPr>
                <w:sz w:val="20"/>
                <w:szCs w:val="20"/>
              </w:rPr>
              <w:t xml:space="preserve">Rail</w:t>
            </w:r>
          </w:p>
        </w:tc>
        <w:tc>
          <w:tcPr>
            <w:tcW w:type="dxa" w:w="1800"/>
            <w:tcBorders>
              <w:top w:val="single" w:color="D9D9D9" w:sz="2"/>
              <w:left w:val="none" w:color="FFFFFF" w:sz="0"/>
              <w:bottom w:val="single" w:color="D9D9D9" w:sz="2"/>
              <w:right w:val="none" w:color="FFFFFF" w:sz="0"/>
            </w:tcBorders>
          </w:tcPr>
          <w:p>
            <w:r>
              <w:rPr>
                <w:sz w:val="20"/>
                <w:szCs w:val="20"/>
              </w:rPr>
              <w:t xml:space="preserve">239</w:t>
            </w:r>
          </w:p>
        </w:tc>
        <w:tc>
          <w:tcPr>
            <w:tcW w:type="dxa" w:w="2200"/>
            <w:tcBorders>
              <w:top w:val="single" w:color="D9D9D9" w:sz="2"/>
              <w:left w:val="none" w:color="FFFFFF" w:sz="0"/>
              <w:bottom w:val="single" w:color="D9D9D9" w:sz="2"/>
              <w:right w:val="none" w:color="FFFFFF" w:sz="0"/>
            </w:tcBorders>
          </w:tcPr>
          <w:p>
            <w:r>
              <w:rPr>
                <w:sz w:val="20"/>
                <w:szCs w:val="20"/>
              </w:rPr>
              <w:t xml:space="preserve">1.54</w:t>
            </w:r>
          </w:p>
        </w:tc>
        <w:tc>
          <w:tcPr>
            <w:tcW w:type="dxa" w:w="1800"/>
            <w:tcBorders>
              <w:top w:val="single" w:color="D9D9D9" w:sz="2"/>
              <w:left w:val="none" w:color="FFFFFF" w:sz="0"/>
              <w:bottom w:val="single" w:color="D9D9D9" w:sz="2"/>
              <w:right w:val="none" w:color="FFFFFF" w:sz="0"/>
            </w:tcBorders>
          </w:tcPr>
          <w:p>
            <w:r>
              <w:rPr>
                <w:sz w:val="20"/>
                <w:szCs w:val="20"/>
              </w:rPr>
              <w:t xml:space="preserve">85.0%</w:t>
            </w:r>
          </w:p>
        </w:tc>
        <w:tc>
          <w:tcPr>
            <w:tcW w:type="dxa" w:w="2000"/>
            <w:tcBorders>
              <w:top w:val="single" w:color="D9D9D9" w:sz="2"/>
              <w:left w:val="none" w:color="FFFFFF" w:sz="0"/>
              <w:bottom w:val="single" w:color="D9D9D9" w:sz="2"/>
              <w:right w:val="none" w:color="FFFFFF" w:sz="0"/>
            </w:tcBorders>
          </w:tcPr>
          <w:p>
            <w:r>
              <w:rPr>
                <w:sz w:val="20"/>
                <w:szCs w:val="20"/>
              </w:rPr>
              <w:t xml:space="preserve">Rs. 763.88</w:t>
            </w:r>
          </w:p>
        </w:tc>
      </w:tr>
      <w:tr>
        <w:tc>
          <w:tcPr>
            <w:tcW w:type="dxa" w:w="1800"/>
            <w:tcBorders>
              <w:top w:val="single" w:color="D9D9D9" w:sz="2"/>
              <w:left w:val="none" w:color="FFFFFF" w:sz="0"/>
              <w:bottom w:val="single" w:color="D9D9D9" w:sz="2"/>
              <w:right w:val="none" w:color="FFFFFF" w:sz="0"/>
            </w:tcBorders>
          </w:tcPr>
          <w:p>
            <w:r>
              <w:rPr>
                <w:sz w:val="20"/>
                <w:szCs w:val="20"/>
              </w:rPr>
              <w:t xml:space="preserve">Road</w:t>
            </w:r>
          </w:p>
        </w:tc>
        <w:tc>
          <w:tcPr>
            <w:tcW w:type="dxa" w:w="1800"/>
            <w:tcBorders>
              <w:top w:val="single" w:color="D9D9D9" w:sz="2"/>
              <w:left w:val="none" w:color="FFFFFF" w:sz="0"/>
              <w:bottom w:val="single" w:color="D9D9D9" w:sz="2"/>
              <w:right w:val="none" w:color="FFFFFF" w:sz="0"/>
            </w:tcBorders>
          </w:tcPr>
          <w:p>
            <w:r>
              <w:rPr>
                <w:sz w:val="20"/>
                <w:szCs w:val="20"/>
              </w:rPr>
              <w:t xml:space="preserve">665</w:t>
            </w:r>
          </w:p>
        </w:tc>
        <w:tc>
          <w:tcPr>
            <w:tcW w:type="dxa" w:w="2200"/>
            <w:tcBorders>
              <w:top w:val="single" w:color="D9D9D9" w:sz="2"/>
              <w:left w:val="none" w:color="FFFFFF" w:sz="0"/>
              <w:bottom w:val="single" w:color="D9D9D9" w:sz="2"/>
              <w:right w:val="none" w:color="FFFFFF" w:sz="0"/>
            </w:tcBorders>
          </w:tcPr>
          <w:p>
            <w:r>
              <w:rPr>
                <w:sz w:val="20"/>
                <w:szCs w:val="20"/>
              </w:rPr>
              <w:t xml:space="preserve">1.99</w:t>
            </w:r>
          </w:p>
        </w:tc>
        <w:tc>
          <w:tcPr>
            <w:tcW w:type="dxa" w:w="1800"/>
            <w:tcBorders>
              <w:top w:val="single" w:color="D9D9D9" w:sz="2"/>
              <w:left w:val="none" w:color="FFFFFF" w:sz="0"/>
              <w:bottom w:val="single" w:color="D9D9D9" w:sz="2"/>
              <w:right w:val="none" w:color="FFFFFF" w:sz="0"/>
            </w:tcBorders>
          </w:tcPr>
          <w:p>
            <w:r>
              <w:rPr>
                <w:sz w:val="20"/>
                <w:szCs w:val="20"/>
              </w:rPr>
              <w:t xml:space="preserve">82.0%</w:t>
            </w:r>
          </w:p>
        </w:tc>
        <w:tc>
          <w:tcPr>
            <w:tcW w:type="dxa" w:w="2000"/>
            <w:tcBorders>
              <w:top w:val="single" w:color="D9D9D9" w:sz="2"/>
              <w:left w:val="none" w:color="FFFFFF" w:sz="0"/>
              <w:bottom w:val="single" w:color="D9D9D9" w:sz="2"/>
              <w:right w:val="none" w:color="FFFFFF" w:sz="0"/>
            </w:tcBorders>
          </w:tcPr>
          <w:p>
            <w:r>
              <w:rPr>
                <w:sz w:val="20"/>
                <w:szCs w:val="20"/>
              </w:rPr>
              <w:t xml:space="preserve">Rs. 1012.95</w:t>
            </w:r>
          </w:p>
        </w:tc>
      </w:tr>
      <w:tr>
        <w:tc>
          <w:tcPr>
            <w:tcW w:type="dxa" w:w="1800"/>
            <w:tcBorders>
              <w:top w:val="single" w:color="D9D9D9" w:sz="2"/>
              <w:left w:val="none" w:color="FFFFFF" w:sz="0"/>
              <w:bottom w:val="single" w:color="D9D9D9" w:sz="2"/>
              <w:right w:val="none" w:color="FFFFFF" w:sz="0"/>
            </w:tcBorders>
          </w:tcPr>
          <w:p>
            <w:r>
              <w:rPr>
                <w:sz w:val="20"/>
                <w:szCs w:val="20"/>
              </w:rPr>
              <w:t xml:space="preserve">Sea</w:t>
            </w:r>
          </w:p>
        </w:tc>
        <w:tc>
          <w:tcPr>
            <w:tcW w:type="dxa" w:w="1800"/>
            <w:tcBorders>
              <w:top w:val="single" w:color="D9D9D9" w:sz="2"/>
              <w:left w:val="none" w:color="FFFFFF" w:sz="0"/>
              <w:bottom w:val="single" w:color="D9D9D9" w:sz="2"/>
              <w:right w:val="none" w:color="FFFFFF" w:sz="0"/>
            </w:tcBorders>
          </w:tcPr>
          <w:p>
            <w:r>
              <w:rPr>
                <w:sz w:val="20"/>
                <w:szCs w:val="20"/>
              </w:rPr>
              <w:t xml:space="preserve">177</w:t>
            </w:r>
          </w:p>
        </w:tc>
        <w:tc>
          <w:tcPr>
            <w:tcW w:type="dxa" w:w="2200"/>
            <w:tcBorders>
              <w:top w:val="single" w:color="D9D9D9" w:sz="2"/>
              <w:left w:val="none" w:color="FFFFFF" w:sz="0"/>
              <w:bottom w:val="single" w:color="D9D9D9" w:sz="2"/>
              <w:right w:val="none" w:color="FFFFFF" w:sz="0"/>
            </w:tcBorders>
          </w:tcPr>
          <w:p>
            <w:r>
              <w:rPr>
                <w:sz w:val="20"/>
                <w:szCs w:val="20"/>
              </w:rPr>
              <w:t xml:space="preserve">1.02</w:t>
            </w:r>
          </w:p>
        </w:tc>
        <w:tc>
          <w:tcPr>
            <w:tcW w:type="dxa" w:w="1800"/>
            <w:tcBorders>
              <w:top w:val="single" w:color="D9D9D9" w:sz="2"/>
              <w:left w:val="none" w:color="FFFFFF" w:sz="0"/>
              <w:bottom w:val="single" w:color="D9D9D9" w:sz="2"/>
              <w:right w:val="none" w:color="FFFFFF" w:sz="0"/>
            </w:tcBorders>
          </w:tcPr>
          <w:p>
            <w:r>
              <w:rPr>
                <w:sz w:val="20"/>
                <w:szCs w:val="20"/>
              </w:rPr>
              <w:t xml:space="preserve">84.0%</w:t>
            </w:r>
          </w:p>
        </w:tc>
        <w:tc>
          <w:tcPr>
            <w:tcW w:type="dxa" w:w="2000"/>
            <w:tcBorders>
              <w:top w:val="single" w:color="D9D9D9" w:sz="2"/>
              <w:left w:val="none" w:color="FFFFFF" w:sz="0"/>
              <w:bottom w:val="single" w:color="D9D9D9" w:sz="2"/>
              <w:right w:val="none" w:color="FFFFFF" w:sz="0"/>
            </w:tcBorders>
          </w:tcPr>
          <w:p>
            <w:r>
              <w:rPr>
                <w:sz w:val="20"/>
                <w:szCs w:val="20"/>
              </w:rPr>
              <w:t xml:space="preserve">Rs. 507.78</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400"/>
        <w:gridCol w:w="1600"/>
      </w:tblGrid>
      <w:tr>
        <w:trPr>
          <w:tblHeader/>
        </w:trPr>
        <w:tc>
          <w:tcPr>
            <w:tcW w:type="dxa" w:w="1600"/>
            <w:tcBorders>
              <w:top w:val="single" w:color="D9D9D9" w:sz="2"/>
              <w:left w:val="none" w:color="FFFFFF" w:sz="0"/>
              <w:bottom w:val="single" w:color="D9D9D9" w:sz="2"/>
              <w:right w:val="none" w:color="FFFFFF" w:sz="0"/>
            </w:tcBorders>
            <w:shd w:fill="D9E2F3" w:val="clear"/>
          </w:tcPr>
          <w:p>
            <w:r>
              <w:rPr>
                <w:b/>
                <w:bCs/>
                <w:sz w:val="20"/>
                <w:szCs w:val="20"/>
              </w:rPr>
              <w:t xml:space="preserve">Region</w:t>
            </w:r>
          </w:p>
        </w:tc>
        <w:tc>
          <w:tcPr>
            <w:tcW w:type="dxa" w:w="1600"/>
            <w:tcBorders>
              <w:top w:val="single" w:color="D9D9D9" w:sz="2"/>
              <w:left w:val="none" w:color="FFFFFF" w:sz="0"/>
              <w:bottom w:val="single" w:color="D9D9D9" w:sz="2"/>
              <w:right w:val="none" w:color="FFFFFF" w:sz="0"/>
            </w:tcBorders>
            <w:shd w:fill="D9E2F3" w:val="clear"/>
          </w:tcPr>
          <w:p>
            <w:r>
              <w:rPr>
                <w:b/>
                <w:bCs/>
                <w:sz w:val="20"/>
                <w:szCs w:val="20"/>
              </w:rPr>
              <w:t xml:space="preserve">Shipments</w:t>
            </w:r>
          </w:p>
        </w:tc>
        <w:tc>
          <w:tcPr>
            <w:tcW w:type="dxa" w:w="1800"/>
            <w:tcBorders>
              <w:top w:val="single" w:color="D9D9D9" w:sz="2"/>
              <w:left w:val="none" w:color="FFFFFF" w:sz="0"/>
              <w:bottom w:val="single" w:color="D9D9D9" w:sz="2"/>
              <w:right w:val="none" w:color="FFFFFF" w:sz="0"/>
            </w:tcBorders>
            <w:shd w:fill="D9E2F3" w:val="clear"/>
          </w:tcPr>
          <w:p>
            <w:r>
              <w:rPr>
                <w:b/>
                <w:bCs/>
                <w:sz w:val="20"/>
                <w:szCs w:val="20"/>
              </w:rPr>
              <w:t xml:space="preserve">Avg Cost</w:t>
            </w:r>
          </w:p>
        </w:tc>
        <w:tc>
          <w:tcPr>
            <w:tcW w:type="dxa" w:w="2400"/>
            <w:tcBorders>
              <w:top w:val="single" w:color="D9D9D9" w:sz="2"/>
              <w:left w:val="none" w:color="FFFFFF" w:sz="0"/>
              <w:bottom w:val="single" w:color="D9D9D9" w:sz="2"/>
              <w:right w:val="none" w:color="FFFFFF" w:sz="0"/>
            </w:tcBorders>
            <w:shd w:fill="D9E2F3" w:val="clear"/>
          </w:tcPr>
          <w:p>
            <w:r>
              <w:rPr>
                <w:b/>
                <w:bCs/>
                <w:sz w:val="20"/>
                <w:szCs w:val="20"/>
              </w:rPr>
              <w:t xml:space="preserve">Avg Delivery (days)</w:t>
            </w:r>
          </w:p>
        </w:tc>
        <w:tc>
          <w:tcPr>
            <w:tcW w:type="dxa" w:w="1600"/>
            <w:tcBorders>
              <w:top w:val="single" w:color="D9D9D9" w:sz="2"/>
              <w:left w:val="none" w:color="FFFFFF" w:sz="0"/>
              <w:bottom w:val="single" w:color="D9D9D9" w:sz="2"/>
              <w:right w:val="none" w:color="FFFFFF" w:sz="0"/>
            </w:tcBorders>
            <w:shd w:fill="D9E2F3" w:val="clear"/>
          </w:tcPr>
          <w:p>
            <w:r>
              <w:rPr>
                <w:b/>
                <w:bCs/>
                <w:sz w:val="20"/>
                <w:szCs w:val="20"/>
              </w:rPr>
              <w:t xml:space="preserve">% Delayed</w:t>
            </w:r>
          </w:p>
        </w:tc>
      </w:tr>
      <w:tr>
        <w:tc>
          <w:tcPr>
            <w:tcW w:type="dxa" w:w="1600"/>
            <w:tcBorders>
              <w:top w:val="single" w:color="D9D9D9" w:sz="2"/>
              <w:left w:val="none" w:color="FFFFFF" w:sz="0"/>
              <w:bottom w:val="single" w:color="D9D9D9" w:sz="2"/>
              <w:right w:val="none" w:color="FFFFFF" w:sz="0"/>
            </w:tcBorders>
          </w:tcPr>
          <w:p>
            <w:r>
              <w:rPr>
                <w:sz w:val="20"/>
                <w:szCs w:val="20"/>
              </w:rPr>
              <w:t xml:space="preserve">Central</w:t>
            </w:r>
          </w:p>
        </w:tc>
        <w:tc>
          <w:tcPr>
            <w:tcW w:type="dxa" w:w="1600"/>
            <w:tcBorders>
              <w:top w:val="single" w:color="D9D9D9" w:sz="2"/>
              <w:left w:val="none" w:color="FFFFFF" w:sz="0"/>
              <w:bottom w:val="single" w:color="D9D9D9" w:sz="2"/>
              <w:right w:val="none" w:color="FFFFFF" w:sz="0"/>
            </w:tcBorders>
          </w:tcPr>
          <w:p>
            <w:r>
              <w:rPr>
                <w:sz w:val="20"/>
                <w:szCs w:val="20"/>
              </w:rPr>
              <w:t xml:space="preserve">178</w:t>
            </w:r>
          </w:p>
        </w:tc>
        <w:tc>
          <w:tcPr>
            <w:tcW w:type="dxa" w:w="1800"/>
            <w:tcBorders>
              <w:top w:val="single" w:color="D9D9D9" w:sz="2"/>
              <w:left w:val="none" w:color="FFFFFF" w:sz="0"/>
              <w:bottom w:val="single" w:color="D9D9D9" w:sz="2"/>
              <w:right w:val="none" w:color="FFFFFF" w:sz="0"/>
            </w:tcBorders>
          </w:tcPr>
          <w:p>
            <w:r>
              <w:rPr>
                <w:sz w:val="20"/>
                <w:szCs w:val="20"/>
              </w:rPr>
              <w:t xml:space="preserve">Rs. 1092.99</w:t>
            </w:r>
          </w:p>
        </w:tc>
        <w:tc>
          <w:tcPr>
            <w:tcW w:type="dxa" w:w="2400"/>
            <w:tcBorders>
              <w:top w:val="single" w:color="D9D9D9" w:sz="2"/>
              <w:left w:val="none" w:color="FFFFFF" w:sz="0"/>
              <w:bottom w:val="single" w:color="D9D9D9" w:sz="2"/>
              <w:right w:val="none" w:color="FFFFFF" w:sz="0"/>
            </w:tcBorders>
          </w:tcPr>
          <w:p>
            <w:r>
              <w:rPr>
                <w:sz w:val="20"/>
                <w:szCs w:val="20"/>
              </w:rPr>
              <w:t xml:space="preserve">16.46</w:t>
            </w:r>
          </w:p>
        </w:tc>
        <w:tc>
          <w:tcPr>
            <w:tcW w:type="dxa" w:w="1600"/>
            <w:tcBorders>
              <w:top w:val="single" w:color="D9D9D9" w:sz="2"/>
              <w:left w:val="none" w:color="FFFFFF" w:sz="0"/>
              <w:bottom w:val="single" w:color="D9D9D9" w:sz="2"/>
              <w:right w:val="none" w:color="FFFFFF" w:sz="0"/>
            </w:tcBorders>
          </w:tcPr>
          <w:p>
            <w:r>
              <w:rPr>
                <w:sz w:val="20"/>
                <w:szCs w:val="20"/>
              </w:rPr>
              <w:t xml:space="preserve">83%</w:t>
            </w:r>
          </w:p>
        </w:tc>
      </w:tr>
      <w:tr>
        <w:tc>
          <w:tcPr>
            <w:tcW w:type="dxa" w:w="1600"/>
            <w:tcBorders>
              <w:top w:val="single" w:color="D9D9D9" w:sz="2"/>
              <w:left w:val="none" w:color="FFFFFF" w:sz="0"/>
              <w:bottom w:val="single" w:color="D9D9D9" w:sz="2"/>
              <w:right w:val="none" w:color="FFFFFF" w:sz="0"/>
            </w:tcBorders>
          </w:tcPr>
          <w:p>
            <w:r>
              <w:rPr>
                <w:sz w:val="20"/>
                <w:szCs w:val="20"/>
              </w:rPr>
              <w:t xml:space="preserve">East</w:t>
            </w:r>
          </w:p>
        </w:tc>
        <w:tc>
          <w:tcPr>
            <w:tcW w:type="dxa" w:w="1600"/>
            <w:tcBorders>
              <w:top w:val="single" w:color="D9D9D9" w:sz="2"/>
              <w:left w:val="none" w:color="FFFFFF" w:sz="0"/>
              <w:bottom w:val="single" w:color="D9D9D9" w:sz="2"/>
              <w:right w:val="none" w:color="FFFFFF" w:sz="0"/>
            </w:tcBorders>
          </w:tcPr>
          <w:p>
            <w:r>
              <w:rPr>
                <w:sz w:val="20"/>
                <w:szCs w:val="20"/>
              </w:rPr>
              <w:t xml:space="preserve">233</w:t>
            </w:r>
          </w:p>
        </w:tc>
        <w:tc>
          <w:tcPr>
            <w:tcW w:type="dxa" w:w="1800"/>
            <w:tcBorders>
              <w:top w:val="single" w:color="D9D9D9" w:sz="2"/>
              <w:left w:val="none" w:color="FFFFFF" w:sz="0"/>
              <w:bottom w:val="single" w:color="D9D9D9" w:sz="2"/>
              <w:right w:val="none" w:color="FFFFFF" w:sz="0"/>
            </w:tcBorders>
          </w:tcPr>
          <w:p>
            <w:r>
              <w:rPr>
                <w:sz w:val="20"/>
                <w:szCs w:val="20"/>
              </w:rPr>
              <w:t xml:space="preserve">Rs. 1051.72</w:t>
            </w:r>
          </w:p>
        </w:tc>
        <w:tc>
          <w:tcPr>
            <w:tcW w:type="dxa" w:w="2400"/>
            <w:tcBorders>
              <w:top w:val="single" w:color="D9D9D9" w:sz="2"/>
              <w:left w:val="none" w:color="FFFFFF" w:sz="0"/>
              <w:bottom w:val="single" w:color="D9D9D9" w:sz="2"/>
              <w:right w:val="none" w:color="FFFFFF" w:sz="0"/>
            </w:tcBorders>
          </w:tcPr>
          <w:p>
            <w:r>
              <w:rPr>
                <w:sz w:val="20"/>
                <w:szCs w:val="20"/>
              </w:rPr>
              <w:t xml:space="preserve">15.82</w:t>
            </w:r>
          </w:p>
        </w:tc>
        <w:tc>
          <w:tcPr>
            <w:tcW w:type="dxa" w:w="1600"/>
            <w:tcBorders>
              <w:top w:val="single" w:color="D9D9D9" w:sz="2"/>
              <w:left w:val="none" w:color="FFFFFF" w:sz="0"/>
              <w:bottom w:val="single" w:color="D9D9D9" w:sz="2"/>
              <w:right w:val="none" w:color="FFFFFF" w:sz="0"/>
            </w:tcBorders>
          </w:tcPr>
          <w:p>
            <w:r>
              <w:rPr>
                <w:sz w:val="20"/>
                <w:szCs w:val="20"/>
              </w:rPr>
              <w:t xml:space="preserve">82%</w:t>
            </w:r>
          </w:p>
        </w:tc>
      </w:tr>
      <w:tr>
        <w:tc>
          <w:tcPr>
            <w:tcW w:type="dxa" w:w="1600"/>
            <w:tcBorders>
              <w:top w:val="single" w:color="D9D9D9" w:sz="2"/>
              <w:left w:val="none" w:color="FFFFFF" w:sz="0"/>
              <w:bottom w:val="single" w:color="D9D9D9" w:sz="2"/>
              <w:right w:val="none" w:color="FFFFFF" w:sz="0"/>
            </w:tcBorders>
          </w:tcPr>
          <w:p>
            <w:r>
              <w:rPr>
                <w:sz w:val="20"/>
                <w:szCs w:val="20"/>
              </w:rPr>
              <w:t xml:space="preserve">North</w:t>
            </w:r>
          </w:p>
        </w:tc>
        <w:tc>
          <w:tcPr>
            <w:tcW w:type="dxa" w:w="1600"/>
            <w:tcBorders>
              <w:top w:val="single" w:color="D9D9D9" w:sz="2"/>
              <w:left w:val="none" w:color="FFFFFF" w:sz="0"/>
              <w:bottom w:val="single" w:color="D9D9D9" w:sz="2"/>
              <w:right w:val="none" w:color="FFFFFF" w:sz="0"/>
            </w:tcBorders>
          </w:tcPr>
          <w:p>
            <w:r>
              <w:rPr>
                <w:sz w:val="20"/>
                <w:szCs w:val="20"/>
              </w:rPr>
              <w:t xml:space="preserve">321</w:t>
            </w:r>
          </w:p>
        </w:tc>
        <w:tc>
          <w:tcPr>
            <w:tcW w:type="dxa" w:w="1800"/>
            <w:tcBorders>
              <w:top w:val="single" w:color="D9D9D9" w:sz="2"/>
              <w:left w:val="none" w:color="FFFFFF" w:sz="0"/>
              <w:bottom w:val="single" w:color="D9D9D9" w:sz="2"/>
              <w:right w:val="none" w:color="FFFFFF" w:sz="0"/>
            </w:tcBorders>
          </w:tcPr>
          <w:p>
            <w:r>
              <w:rPr>
                <w:sz w:val="20"/>
                <w:szCs w:val="20"/>
              </w:rPr>
              <w:t xml:space="preserve">Rs. 1049.71</w:t>
            </w:r>
          </w:p>
        </w:tc>
        <w:tc>
          <w:tcPr>
            <w:tcW w:type="dxa" w:w="2400"/>
            <w:tcBorders>
              <w:top w:val="single" w:color="D9D9D9" w:sz="2"/>
              <w:left w:val="none" w:color="FFFFFF" w:sz="0"/>
              <w:bottom w:val="single" w:color="D9D9D9" w:sz="2"/>
              <w:right w:val="none" w:color="FFFFFF" w:sz="0"/>
            </w:tcBorders>
          </w:tcPr>
          <w:p>
            <w:r>
              <w:rPr>
                <w:sz w:val="20"/>
                <w:szCs w:val="20"/>
              </w:rPr>
              <w:t xml:space="preserve">16.12</w:t>
            </w:r>
          </w:p>
        </w:tc>
        <w:tc>
          <w:tcPr>
            <w:tcW w:type="dxa" w:w="1600"/>
            <w:tcBorders>
              <w:top w:val="single" w:color="D9D9D9" w:sz="2"/>
              <w:left w:val="none" w:color="FFFFFF" w:sz="0"/>
              <w:bottom w:val="single" w:color="D9D9D9" w:sz="2"/>
              <w:right w:val="none" w:color="FFFFFF" w:sz="0"/>
            </w:tcBorders>
          </w:tcPr>
          <w:p>
            <w:r>
              <w:rPr>
                <w:sz w:val="20"/>
                <w:szCs w:val="20"/>
              </w:rPr>
              <w:t xml:space="preserve">83%</w:t>
            </w:r>
          </w:p>
        </w:tc>
      </w:tr>
      <w:tr>
        <w:tc>
          <w:tcPr>
            <w:tcW w:type="dxa" w:w="1600"/>
            <w:tcBorders>
              <w:top w:val="single" w:color="D9D9D9" w:sz="2"/>
              <w:left w:val="none" w:color="FFFFFF" w:sz="0"/>
              <w:bottom w:val="single" w:color="D9D9D9" w:sz="2"/>
              <w:right w:val="none" w:color="FFFFFF" w:sz="0"/>
            </w:tcBorders>
          </w:tcPr>
          <w:p>
            <w:r>
              <w:rPr>
                <w:sz w:val="20"/>
                <w:szCs w:val="20"/>
              </w:rPr>
              <w:t xml:space="preserve">South</w:t>
            </w:r>
          </w:p>
        </w:tc>
        <w:tc>
          <w:tcPr>
            <w:tcW w:type="dxa" w:w="1600"/>
            <w:tcBorders>
              <w:top w:val="single" w:color="D9D9D9" w:sz="2"/>
              <w:left w:val="none" w:color="FFFFFF" w:sz="0"/>
              <w:bottom w:val="single" w:color="D9D9D9" w:sz="2"/>
              <w:right w:val="none" w:color="FFFFFF" w:sz="0"/>
            </w:tcBorders>
          </w:tcPr>
          <w:p>
            <w:r>
              <w:rPr>
                <w:sz w:val="20"/>
                <w:szCs w:val="20"/>
              </w:rPr>
              <w:t xml:space="preserve">217</w:t>
            </w:r>
          </w:p>
        </w:tc>
        <w:tc>
          <w:tcPr>
            <w:tcW w:type="dxa" w:w="1800"/>
            <w:tcBorders>
              <w:top w:val="single" w:color="D9D9D9" w:sz="2"/>
              <w:left w:val="none" w:color="FFFFFF" w:sz="0"/>
              <w:bottom w:val="single" w:color="D9D9D9" w:sz="2"/>
              <w:right w:val="none" w:color="FFFFFF" w:sz="0"/>
            </w:tcBorders>
          </w:tcPr>
          <w:p>
            <w:r>
              <w:rPr>
                <w:sz w:val="20"/>
                <w:szCs w:val="20"/>
              </w:rPr>
              <w:t xml:space="preserve">Rs. 1070.89</w:t>
            </w:r>
          </w:p>
        </w:tc>
        <w:tc>
          <w:tcPr>
            <w:tcW w:type="dxa" w:w="2400"/>
            <w:tcBorders>
              <w:top w:val="single" w:color="D9D9D9" w:sz="2"/>
              <w:left w:val="none" w:color="FFFFFF" w:sz="0"/>
              <w:bottom w:val="single" w:color="D9D9D9" w:sz="2"/>
              <w:right w:val="none" w:color="FFFFFF" w:sz="0"/>
            </w:tcBorders>
          </w:tcPr>
          <w:p>
            <w:r>
              <w:rPr>
                <w:sz w:val="20"/>
                <w:szCs w:val="20"/>
              </w:rPr>
              <w:t xml:space="preserve">15.61</w:t>
            </w:r>
          </w:p>
        </w:tc>
        <w:tc>
          <w:tcPr>
            <w:tcW w:type="dxa" w:w="1600"/>
            <w:tcBorders>
              <w:top w:val="single" w:color="D9D9D9" w:sz="2"/>
              <w:left w:val="none" w:color="FFFFFF" w:sz="0"/>
              <w:bottom w:val="single" w:color="D9D9D9" w:sz="2"/>
              <w:right w:val="none" w:color="FFFFFF" w:sz="0"/>
            </w:tcBorders>
          </w:tcPr>
          <w:p>
            <w:r>
              <w:rPr>
                <w:sz w:val="20"/>
                <w:szCs w:val="20"/>
              </w:rPr>
              <w:t xml:space="preserve">82%</w:t>
            </w:r>
          </w:p>
        </w:tc>
      </w:tr>
      <w:tr>
        <w:tc>
          <w:tcPr>
            <w:tcW w:type="dxa" w:w="1600"/>
            <w:tcBorders>
              <w:top w:val="single" w:color="D9D9D9" w:sz="2"/>
              <w:left w:val="none" w:color="FFFFFF" w:sz="0"/>
              <w:bottom w:val="single" w:color="D9D9D9" w:sz="2"/>
              <w:right w:val="none" w:color="FFFFFF" w:sz="0"/>
            </w:tcBorders>
          </w:tcPr>
          <w:p>
            <w:r>
              <w:rPr>
                <w:sz w:val="20"/>
                <w:szCs w:val="20"/>
              </w:rPr>
              <w:t xml:space="preserve">West</w:t>
            </w:r>
          </w:p>
        </w:tc>
        <w:tc>
          <w:tcPr>
            <w:tcW w:type="dxa" w:w="1600"/>
            <w:tcBorders>
              <w:top w:val="single" w:color="D9D9D9" w:sz="2"/>
              <w:left w:val="none" w:color="FFFFFF" w:sz="0"/>
              <w:bottom w:val="single" w:color="D9D9D9" w:sz="2"/>
              <w:right w:val="none" w:color="FFFFFF" w:sz="0"/>
            </w:tcBorders>
          </w:tcPr>
          <w:p>
            <w:r>
              <w:rPr>
                <w:sz w:val="20"/>
                <w:szCs w:val="20"/>
              </w:rPr>
              <w:t xml:space="preserve">251</w:t>
            </w:r>
          </w:p>
        </w:tc>
        <w:tc>
          <w:tcPr>
            <w:tcW w:type="dxa" w:w="1800"/>
            <w:tcBorders>
              <w:top w:val="single" w:color="D9D9D9" w:sz="2"/>
              <w:left w:val="none" w:color="FFFFFF" w:sz="0"/>
              <w:bottom w:val="single" w:color="D9D9D9" w:sz="2"/>
              <w:right w:val="none" w:color="FFFFFF" w:sz="0"/>
            </w:tcBorders>
          </w:tcPr>
          <w:p>
            <w:r>
              <w:rPr>
                <w:sz w:val="20"/>
                <w:szCs w:val="20"/>
              </w:rPr>
              <w:t xml:space="preserve">Rs. 1079.85</w:t>
            </w:r>
          </w:p>
        </w:tc>
        <w:tc>
          <w:tcPr>
            <w:tcW w:type="dxa" w:w="2400"/>
            <w:tcBorders>
              <w:top w:val="single" w:color="D9D9D9" w:sz="2"/>
              <w:left w:val="none" w:color="FFFFFF" w:sz="0"/>
              <w:bottom w:val="single" w:color="D9D9D9" w:sz="2"/>
              <w:right w:val="none" w:color="FFFFFF" w:sz="0"/>
            </w:tcBorders>
          </w:tcPr>
          <w:p>
            <w:r>
              <w:rPr>
                <w:sz w:val="20"/>
                <w:szCs w:val="20"/>
              </w:rPr>
              <w:t xml:space="preserve">15.86</w:t>
            </w:r>
          </w:p>
        </w:tc>
        <w:tc>
          <w:tcPr>
            <w:tcW w:type="dxa" w:w="1600"/>
            <w:tcBorders>
              <w:top w:val="single" w:color="D9D9D9" w:sz="2"/>
              <w:left w:val="none" w:color="FFFFFF" w:sz="0"/>
              <w:bottom w:val="single" w:color="D9D9D9" w:sz="2"/>
              <w:right w:val="none" w:color="FFFFFF" w:sz="0"/>
            </w:tcBorders>
          </w:tcPr>
          <w:p>
            <w:r>
              <w:rPr>
                <w:sz w:val="20"/>
                <w:szCs w:val="20"/>
              </w:rPr>
              <w:t xml:space="preserve">86%</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none" w:color="FFFFFF" w:sz="0"/>
              <w:bottom w:val="none" w:color="FFFFFF" w:sz="0"/>
              <w:right w:val="none" w:color="FFFFFF" w:sz="0"/>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delay_by_mode = df.groupby("transport_mode").agg(</w:t>
            </w:r>
          </w:p>
          <w:p>
            <w:pPr>
              <w:spacing w:after="0"/>
            </w:pPr>
            <w:r>
              <w:rPr>
                <w:rFonts w:ascii="Consolas" w:cs="Consolas" w:eastAsia="Consolas" w:hAnsi="Consolas"/>
                <w:sz w:val="18"/>
                <w:szCs w:val="18"/>
              </w:rPr>
              <w:t xml:space="preserve">    shipments=("shipment_id", "count"),</w:t>
            </w:r>
          </w:p>
          <w:p>
            <w:pPr>
              <w:spacing w:after="0"/>
            </w:pPr>
            <w:r>
              <w:rPr>
                <w:rFonts w:ascii="Consolas" w:cs="Consolas" w:eastAsia="Consolas" w:hAnsi="Consolas"/>
                <w:sz w:val="18"/>
                <w:szCs w:val="18"/>
              </w:rPr>
              <w:t xml:space="preserve">    avg_delay_days=("delay_days", "mean"),</w:t>
            </w:r>
          </w:p>
          <w:p>
            <w:pPr>
              <w:spacing w:after="0"/>
            </w:pPr>
            <w:r>
              <w:rPr>
                <w:rFonts w:ascii="Consolas" w:cs="Consolas" w:eastAsia="Consolas" w:hAnsi="Consolas"/>
                <w:sz w:val="18"/>
                <w:szCs w:val="18"/>
              </w:rPr>
              <w:t xml:space="preserve">    pct_delayed=("is_delayed", "mean"),</w:t>
            </w:r>
          </w:p>
          <w:p>
            <w:pPr>
              <w:spacing w:after="0"/>
            </w:pPr>
            <w:r>
              <w:rPr>
                <w:rFonts w:ascii="Consolas" w:cs="Consolas" w:eastAsia="Consolas" w:hAnsi="Consolas"/>
                <w:sz w:val="18"/>
                <w:szCs w:val="18"/>
              </w:rPr>
              <w:t xml:space="preserve">    avg_cost=("transportation_cost", "mean"),</w:t>
            </w:r>
          </w:p>
          <w:p>
            <w:pPr>
              <w:spacing w:after="0"/>
            </w:pPr>
            <w:r>
              <w:rPr>
                <w:rFonts w:ascii="Consolas" w:cs="Consolas" w:eastAsia="Consolas" w:hAnsi="Consolas"/>
                <w:sz w:val="18"/>
                <w:szCs w:val="18"/>
              </w:rPr>
              <w:t xml:space="preserve">).round(2)</w:t>
            </w:r>
          </w:p>
        </w:tc>
      </w:tr>
    </w:tbl>
    <w:p>
      <w:r>
        <w:br w:type="page"/>
      </w:r>
    </w:p>
    <w:p>
      <w:pPr>
        <w:spacing w:after="160" w:before="320"/>
      </w:pPr>
      <w:r>
        <w:rPr>
          <w:b/>
          <w:bCs/>
          <w:color w:val="2E5C8A"/>
          <w:sz w:val="30"/>
          <w:szCs w:val="30"/>
        </w:rPr>
        <w:t xml:space="preserve">6. Visualizations</w:t>
      </w:r>
    </w:p>
    <w:p>
      <w:pPr>
        <w:spacing w:after="160"/>
        <w:jc w:val="both"/>
      </w:pPr>
      <w:r>
        <w:rPr>
          <w:sz w:val="22"/>
          <w:szCs w:val="22"/>
        </w:rPr>
        <w:t xml:space="preserve">Seven visualizations were produced using matplotlib and seaborn, each chosen for the specific pattern it makes visible.</w:t>
      </w:r>
    </w:p>
    <w:p>
      <w:pPr>
        <w:spacing w:after="100" w:before="200"/>
      </w:pPr>
      <w:r>
        <w:rPr>
          <w:b/>
          <w:bCs/>
          <w:color w:val="2E5C8A"/>
          <w:sz w:val="24"/>
          <w:szCs w:val="24"/>
        </w:rPr>
        <w:t xml:space="preserve">6.1 Distribution of Delivery Time</w:t>
      </w:r>
    </w:p>
    <w:p>
      <w:pPr>
        <w:spacing w:after="160"/>
        <w:jc w:val="both"/>
      </w:pPr>
      <w:r>
        <w:rPr>
          <w:sz w:val="22"/>
          <w:szCs w:val="22"/>
        </w:rPr>
        <w:t xml:space="preserve">A histogram with a KDE overlay was used to reveal the shape and skew of delivery times.</w:t>
      </w:r>
    </w:p>
    <w:p>
      <w:pPr>
        <w:spacing w:before="120"/>
        <w:jc w:val="center"/>
      </w:pPr>
      <w:r>
        <w:drawing>
          <wp:inline distT="0" distB="0" distL="0" distR="0">
            <wp:extent cx="4953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81350"/>
                    </a:xfrm>
                    <a:prstGeom prst="rect">
                      <a:avLst/>
                    </a:prstGeom>
                  </pic:spPr>
                </pic:pic>
              </a:graphicData>
            </a:graphic>
          </wp:inline>
        </w:drawing>
      </w:r>
    </w:p>
    <w:p>
      <w:pPr>
        <w:spacing w:after="240" w:before="80"/>
        <w:jc w:val="center"/>
      </w:pPr>
      <w:r>
        <w:rPr>
          <w:i/>
          <w:iCs/>
          <w:color w:val="555555"/>
          <w:sz w:val="19"/>
          <w:szCs w:val="19"/>
        </w:rPr>
        <w:t xml:space="preserve">Figure 1: Distribution of actual delivery time across all shipments.</w:t>
      </w:r>
    </w:p>
    <w:p>
      <w:pPr>
        <w:spacing w:after="160"/>
        <w:jc w:val="both"/>
      </w:pPr>
      <w:r>
        <w:rPr>
          <w:sz w:val="22"/>
          <w:szCs w:val="22"/>
        </w:rPr>
        <w:t xml:space="preserve">Interpretation: Delivery times are right-skewed, clustering between 8-20 days with a long tail beyond 30 days, indicating a subset of shipments face significantly longer transit.</w:t>
      </w:r>
    </w:p>
    <w:p>
      <w:pPr>
        <w:spacing w:after="100" w:before="200"/>
      </w:pPr>
      <w:r>
        <w:rPr>
          <w:b/>
          <w:bCs/>
          <w:color w:val="2E5C8A"/>
          <w:sz w:val="24"/>
          <w:szCs w:val="24"/>
        </w:rPr>
        <w:t xml:space="preserve">6.2 Transportation Cost by Mode</w:t>
      </w:r>
    </w:p>
    <w:p>
      <w:pPr>
        <w:spacing w:after="160"/>
        <w:jc w:val="both"/>
      </w:pPr>
      <w:r>
        <w:rPr>
          <w:sz w:val="22"/>
          <w:szCs w:val="22"/>
        </w:rPr>
        <w:t xml:space="preserve">A boxplot was used to compare cost distributions across transport modes, exposing median, spread and outliers together.</w:t>
      </w:r>
    </w:p>
    <w:p>
      <w:pPr>
        <w:spacing w:before="120"/>
        <w:jc w:val="center"/>
      </w:pPr>
      <w:r>
        <w:drawing>
          <wp:inline distT="0" distB="0" distL="0" distR="0">
            <wp:extent cx="4953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81350"/>
                    </a:xfrm>
                    <a:prstGeom prst="rect">
                      <a:avLst/>
                    </a:prstGeom>
                  </pic:spPr>
                </pic:pic>
              </a:graphicData>
            </a:graphic>
          </wp:inline>
        </w:drawing>
      </w:r>
    </w:p>
    <w:p>
      <w:pPr>
        <w:spacing w:after="240" w:before="80"/>
        <w:jc w:val="center"/>
      </w:pPr>
      <w:r>
        <w:rPr>
          <w:i/>
          <w:iCs/>
          <w:color w:val="555555"/>
          <w:sz w:val="19"/>
          <w:szCs w:val="19"/>
        </w:rPr>
        <w:t xml:space="preserve">Figure 2: Transportation cost distribution by transport mode.</w:t>
      </w:r>
    </w:p>
    <w:p>
      <w:pPr>
        <w:spacing w:after="160"/>
        <w:jc w:val="both"/>
      </w:pPr>
      <w:r>
        <w:rPr>
          <w:sz w:val="22"/>
          <w:szCs w:val="22"/>
        </w:rPr>
        <w:t xml:space="preserve">Interpretation: Air freight carries the highest median cost and widest variance, while Sea and Rail are markedly cheaper, confirming transport mode as a primary cost driver.</w:t>
      </w:r>
    </w:p>
    <w:p>
      <w:pPr>
        <w:spacing w:after="100" w:before="200"/>
      </w:pPr>
      <w:r>
        <w:rPr>
          <w:b/>
          <w:bCs/>
          <w:color w:val="2E5C8A"/>
          <w:sz w:val="24"/>
          <w:szCs w:val="24"/>
        </w:rPr>
        <w:t xml:space="preserve">6.3 Monthly Shipment Volume Trend</w:t>
      </w:r>
    </w:p>
    <w:p>
      <w:pPr>
        <w:spacing w:after="160"/>
        <w:jc w:val="both"/>
      </w:pPr>
      <w:r>
        <w:rPr>
          <w:sz w:val="22"/>
          <w:szCs w:val="22"/>
        </w:rPr>
        <w:t xml:space="preserve">A line chart was used to track shipment counts over time.</w:t>
      </w:r>
    </w:p>
    <w:p>
      <w:pPr>
        <w:spacing w:before="12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90825"/>
                    </a:xfrm>
                    <a:prstGeom prst="rect">
                      <a:avLst/>
                    </a:prstGeom>
                  </pic:spPr>
                </pic:pic>
              </a:graphicData>
            </a:graphic>
          </wp:inline>
        </w:drawing>
      </w:r>
    </w:p>
    <w:p>
      <w:pPr>
        <w:spacing w:after="240" w:before="80"/>
        <w:jc w:val="center"/>
      </w:pPr>
      <w:r>
        <w:rPr>
          <w:i/>
          <w:iCs/>
          <w:color w:val="555555"/>
          <w:sz w:val="19"/>
          <w:szCs w:val="19"/>
        </w:rPr>
        <w:t xml:space="preserve">Figure 3: Monthly number of shipments across 2025.</w:t>
      </w:r>
    </w:p>
    <w:p>
      <w:pPr>
        <w:spacing w:after="160"/>
        <w:jc w:val="both"/>
      </w:pPr>
      <w:r>
        <w:rPr>
          <w:sz w:val="22"/>
          <w:szCs w:val="22"/>
        </w:rPr>
        <w:t xml:space="preserve">Interpretation: Shipment counts fluctuate without a strong seasonal pattern in this simulated dataset, though real data should still be checked for seasonal demand peaks.</w:t>
      </w:r>
    </w:p>
    <w:p>
      <w:r>
        <w:br w:type="page"/>
      </w:r>
    </w:p>
    <w:p>
      <w:pPr>
        <w:spacing w:after="100" w:before="200"/>
      </w:pPr>
      <w:r>
        <w:rPr>
          <w:b/>
          <w:bCs/>
          <w:color w:val="2E5C8A"/>
          <w:sz w:val="24"/>
          <w:szCs w:val="24"/>
        </w:rPr>
        <w:t xml:space="preserve">6.4 Correlation Matrix of Key Metrics</w:t>
      </w:r>
    </w:p>
    <w:p>
      <w:pPr>
        <w:spacing w:after="160"/>
        <w:jc w:val="both"/>
      </w:pPr>
      <w:r>
        <w:rPr>
          <w:sz w:val="22"/>
          <w:szCs w:val="22"/>
        </w:rPr>
        <w:t xml:space="preserve">A heatmap was used to simultaneously visualize pairwise correlation strength and direction across all numeric variables.</w:t>
      </w:r>
    </w:p>
    <w:p>
      <w:pPr>
        <w:spacing w:before="120"/>
        <w:jc w:val="center"/>
      </w:pPr>
      <w:r>
        <w:drawing>
          <wp:inline distT="0" distB="0" distL="0" distR="0">
            <wp:extent cx="4191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352800"/>
                    </a:xfrm>
                    <a:prstGeom prst="rect">
                      <a:avLst/>
                    </a:prstGeom>
                  </pic:spPr>
                </pic:pic>
              </a:graphicData>
            </a:graphic>
          </wp:inline>
        </w:drawing>
      </w:r>
    </w:p>
    <w:p>
      <w:pPr>
        <w:spacing w:after="240" w:before="80"/>
        <w:jc w:val="center"/>
      </w:pPr>
      <w:r>
        <w:rPr>
          <w:i/>
          <w:iCs/>
          <w:color w:val="555555"/>
          <w:sz w:val="19"/>
          <w:szCs w:val="19"/>
        </w:rPr>
        <w:t xml:space="preserve">Figure 4: Correlation matrix of key logistics metrics.</w:t>
      </w:r>
    </w:p>
    <w:p>
      <w:pPr>
        <w:spacing w:after="160"/>
        <w:jc w:val="both"/>
      </w:pPr>
      <w:r>
        <w:rPr>
          <w:sz w:val="22"/>
          <w:szCs w:val="22"/>
        </w:rPr>
        <w:t xml:space="preserve">Interpretation: Delay days and customer satisfaction show a strong negative correlation (-0.82), confirming delay as the biggest driver of dissatisfaction. Distance correlates strongly with delivery time (0.82) and moderately with cost (0.55).</w:t>
      </w:r>
    </w:p>
    <w:p>
      <w:pPr>
        <w:spacing w:after="100" w:before="200"/>
      </w:pPr>
      <w:r>
        <w:rPr>
          <w:b/>
          <w:bCs/>
          <w:color w:val="2E5C8A"/>
          <w:sz w:val="24"/>
          <w:szCs w:val="24"/>
        </w:rPr>
        <w:t xml:space="preserve">6.5 Distance vs. Delivery Time by Mode</w:t>
      </w:r>
    </w:p>
    <w:p>
      <w:pPr>
        <w:spacing w:after="160"/>
        <w:jc w:val="both"/>
      </w:pPr>
      <w:r>
        <w:rPr>
          <w:sz w:val="22"/>
          <w:szCs w:val="22"/>
        </w:rPr>
        <w:t xml:space="preserve">A scatter plot with color-coded transport mode was used to examine how two continuous variables relate, segmented by category.</w:t>
      </w:r>
    </w:p>
    <w:p>
      <w:pPr>
        <w:spacing w:before="12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305175"/>
                    </a:xfrm>
                    <a:prstGeom prst="rect">
                      <a:avLst/>
                    </a:prstGeom>
                  </pic:spPr>
                </pic:pic>
              </a:graphicData>
            </a:graphic>
          </wp:inline>
        </w:drawing>
      </w:r>
    </w:p>
    <w:p>
      <w:pPr>
        <w:spacing w:after="240" w:before="80"/>
        <w:jc w:val="center"/>
      </w:pPr>
      <w:r>
        <w:rPr>
          <w:i/>
          <w:iCs/>
          <w:color w:val="555555"/>
          <w:sz w:val="19"/>
          <w:szCs w:val="19"/>
        </w:rPr>
        <w:t xml:space="preserve">Figure 5: Relationship between shipment distance and delivery time, by mode.</w:t>
      </w:r>
    </w:p>
    <w:p>
      <w:pPr>
        <w:spacing w:after="160"/>
        <w:jc w:val="both"/>
      </w:pPr>
      <w:r>
        <w:rPr>
          <w:sz w:val="22"/>
          <w:szCs w:val="22"/>
        </w:rPr>
        <w:t xml:space="preserve">Interpretation: Road shipments show the steepest increase in delivery time with distance, while Air remains comparatively flat, favoring Air/Rail for long-distance, time-sensitive shipments.</w:t>
      </w:r>
    </w:p>
    <w:p>
      <w:r>
        <w:br w:type="page"/>
      </w:r>
    </w:p>
    <w:p>
      <w:pPr>
        <w:spacing w:after="100" w:before="200"/>
      </w:pPr>
      <w:r>
        <w:rPr>
          <w:b/>
          <w:bCs/>
          <w:color w:val="2E5C8A"/>
          <w:sz w:val="24"/>
          <w:szCs w:val="24"/>
        </w:rPr>
        <w:t xml:space="preserve">6.6 Delayed Shipments by Region</w:t>
      </w:r>
    </w:p>
    <w:p>
      <w:pPr>
        <w:spacing w:after="160"/>
        <w:jc w:val="both"/>
      </w:pPr>
      <w:r>
        <w:rPr>
          <w:sz w:val="22"/>
          <w:szCs w:val="22"/>
        </w:rPr>
        <w:t xml:space="preserve">A bar chart was used to compare a single metric across a small number of categorical groups.</w:t>
      </w:r>
    </w:p>
    <w:p>
      <w:pPr>
        <w:spacing w:before="120"/>
        <w:jc w:val="center"/>
      </w:pPr>
      <w:r>
        <w:drawing>
          <wp:inline distT="0" distB="0" distL="0" distR="0">
            <wp:extent cx="4953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181350"/>
                    </a:xfrm>
                    <a:prstGeom prst="rect">
                      <a:avLst/>
                    </a:prstGeom>
                  </pic:spPr>
                </pic:pic>
              </a:graphicData>
            </a:graphic>
          </wp:inline>
        </w:drawing>
      </w:r>
    </w:p>
    <w:p>
      <w:pPr>
        <w:spacing w:after="240" w:before="80"/>
        <w:jc w:val="center"/>
      </w:pPr>
      <w:r>
        <w:rPr>
          <w:i/>
          <w:iCs/>
          <w:color w:val="555555"/>
          <w:sz w:val="19"/>
          <w:szCs w:val="19"/>
        </w:rPr>
        <w:t xml:space="preserve">Figure 6: Percentage of shipments delayed, by region.</w:t>
      </w:r>
    </w:p>
    <w:p>
      <w:pPr>
        <w:spacing w:after="160"/>
        <w:jc w:val="both"/>
      </w:pPr>
      <w:r>
        <w:rPr>
          <w:sz w:val="22"/>
          <w:szCs w:val="22"/>
        </w:rPr>
        <w:t xml:space="preserve">Interpretation: The West and North regions show the highest delay percentages, pointing to route- or last-mile-specific inefficiencies worth deeper review.</w:t>
      </w:r>
    </w:p>
    <w:p>
      <w:pPr>
        <w:spacing w:after="100" w:before="200"/>
      </w:pPr>
      <w:r>
        <w:rPr>
          <w:b/>
          <w:bCs/>
          <w:color w:val="2E5C8A"/>
          <w:sz w:val="24"/>
          <w:szCs w:val="24"/>
        </w:rPr>
        <w:t xml:space="preserve">6.7 Customer Satisfaction vs. Delay</w:t>
      </w:r>
    </w:p>
    <w:p>
      <w:pPr>
        <w:spacing w:after="160"/>
        <w:jc w:val="both"/>
      </w:pPr>
      <w:r>
        <w:rPr>
          <w:sz w:val="22"/>
          <w:szCs w:val="22"/>
        </w:rPr>
        <w:t xml:space="preserve">A bar chart of average satisfaction across delay buckets makes the delay-to-experience relationship immediately interpretable.</w:t>
      </w:r>
    </w:p>
    <w:p>
      <w:pPr>
        <w:spacing w:before="120"/>
        <w:jc w:val="center"/>
      </w:pPr>
      <w:r>
        <w:drawing>
          <wp:inline distT="0" distB="0" distL="0" distR="0">
            <wp:extent cx="4953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181350"/>
                    </a:xfrm>
                    <a:prstGeom prst="rect">
                      <a:avLst/>
                    </a:prstGeom>
                  </pic:spPr>
                </pic:pic>
              </a:graphicData>
            </a:graphic>
          </wp:inline>
        </w:drawing>
      </w:r>
    </w:p>
    <w:p>
      <w:pPr>
        <w:spacing w:after="240" w:before="80"/>
        <w:jc w:val="center"/>
      </w:pPr>
      <w:r>
        <w:rPr>
          <w:i/>
          <w:iCs/>
          <w:color w:val="555555"/>
          <w:sz w:val="19"/>
          <w:szCs w:val="19"/>
        </w:rPr>
        <w:t xml:space="preserve">Figure 7: Average customer satisfaction score by delay bucket.</w:t>
      </w:r>
    </w:p>
    <w:p>
      <w:pPr>
        <w:spacing w:after="160"/>
        <w:jc w:val="both"/>
      </w:pPr>
      <w:r>
        <w:rPr>
          <w:sz w:val="22"/>
          <w:szCs w:val="22"/>
        </w:rPr>
        <w:t xml:space="preserve">Interpretation: Satisfaction drops sharply once delays exceed 2 days, establishing a clear service-level threshold that operations should aim to stay within.</w:t>
      </w:r>
    </w:p>
    <w:p>
      <w:r>
        <w:br w:type="page"/>
      </w:r>
    </w:p>
    <w:p>
      <w:pPr>
        <w:spacing w:after="160" w:before="320"/>
      </w:pPr>
      <w:r>
        <w:rPr>
          <w:b/>
          <w:bCs/>
          <w:color w:val="2E5C8A"/>
          <w:sz w:val="30"/>
          <w:szCs w:val="30"/>
        </w:rPr>
        <w:t xml:space="preserve">7. Analytical Insights and Recommendations</w:t>
      </w:r>
    </w:p>
    <w:p>
      <w:pPr>
        <w:spacing w:after="100" w:before="100"/>
      </w:pPr>
      <w:r>
        <w:rPr>
          <w:b/>
          <w:bCs/>
          <w:color w:val="2E5C8A"/>
          <w:sz w:val="24"/>
          <w:szCs w:val="24"/>
        </w:rPr>
        <w:t xml:space="preserve">7.1 Key Insights</w:t>
      </w:r>
    </w:p>
    <w:p>
      <w:pPr>
        <w:pStyle w:val="ListParagraph"/>
        <w:numPr>
          <w:ilvl w:val="0"/>
          <w:numId w:val="1"/>
        </w:numPr>
        <w:spacing w:after="80"/>
      </w:pPr>
      <w:r>
        <w:rPr>
          <w:sz w:val="22"/>
          <w:szCs w:val="22"/>
        </w:rPr>
        <w:t xml:space="preserve">Delay is the strongest driver of poor customer satisfaction (correlation -0.82), outweighing cost or distance effects.</w:t>
      </w:r>
    </w:p>
    <w:p>
      <w:pPr>
        <w:pStyle w:val="ListParagraph"/>
        <w:numPr>
          <w:ilvl w:val="0"/>
          <w:numId w:val="1"/>
        </w:numPr>
        <w:spacing w:after="80"/>
      </w:pPr>
      <w:r>
        <w:rPr>
          <w:sz w:val="22"/>
          <w:szCs w:val="22"/>
        </w:rPr>
        <w:t xml:space="preserve">Road transport, though the most frequently used mode (55% of shipments), has the highest average delay.</w:t>
      </w:r>
    </w:p>
    <w:p>
      <w:pPr>
        <w:pStyle w:val="ListParagraph"/>
        <w:numPr>
          <w:ilvl w:val="0"/>
          <w:numId w:val="1"/>
        </w:numPr>
        <w:spacing w:after="80"/>
      </w:pPr>
      <w:r>
        <w:rPr>
          <w:sz w:val="22"/>
          <w:szCs w:val="22"/>
        </w:rPr>
        <w:t xml:space="preserve">Distance strongly predicts delivery time (0.82) but is more weakly related to delay itself, implying delays stem from operational rather than purely distance-based factors.</w:t>
      </w:r>
    </w:p>
    <w:p>
      <w:pPr>
        <w:pStyle w:val="ListParagraph"/>
        <w:numPr>
          <w:ilvl w:val="0"/>
          <w:numId w:val="1"/>
        </w:numPr>
        <w:spacing w:after="80"/>
      </w:pPr>
      <w:r>
        <w:rPr>
          <w:sz w:val="22"/>
          <w:szCs w:val="22"/>
        </w:rPr>
        <w:t xml:space="preserve">Air freight cuts delay risk substantially but costs roughly 3-5x more than Road or Sea per shipment.</w:t>
      </w:r>
    </w:p>
    <w:p>
      <w:pPr>
        <w:pStyle w:val="ListParagraph"/>
        <w:numPr>
          <w:ilvl w:val="0"/>
          <w:numId w:val="1"/>
        </w:numPr>
        <w:spacing w:after="80"/>
      </w:pPr>
      <w:r>
        <w:rPr>
          <w:sz w:val="22"/>
          <w:szCs w:val="22"/>
        </w:rPr>
        <w:t xml:space="preserve">The West and North regions show elevated delay rates and are candidates for targeted review.</w:t>
      </w:r>
    </w:p>
    <w:p>
      <w:pPr>
        <w:spacing w:after="100" w:before="200"/>
      </w:pPr>
      <w:r>
        <w:rPr>
          <w:b/>
          <w:bCs/>
          <w:color w:val="2E5C8A"/>
          <w:sz w:val="24"/>
          <w:szCs w:val="24"/>
        </w:rPr>
        <w:t xml:space="preserve">7.2 Recommendations</w:t>
      </w:r>
    </w:p>
    <w:p>
      <w:pPr>
        <w:pStyle w:val="ListParagraph"/>
        <w:numPr>
          <w:ilvl w:val="0"/>
          <w:numId w:val="1"/>
        </w:numPr>
        <w:spacing w:after="80"/>
      </w:pPr>
      <w:r>
        <w:rPr>
          <w:sz w:val="22"/>
          <w:szCs w:val="22"/>
        </w:rPr>
        <w:t xml:space="preserve">Prioritize Air or Rail transport for high-distance or SLA-sensitive shipments despite the higher cost.</w:t>
      </w:r>
    </w:p>
    <w:p>
      <w:pPr>
        <w:pStyle w:val="ListParagraph"/>
        <w:numPr>
          <w:ilvl w:val="0"/>
          <w:numId w:val="1"/>
        </w:numPr>
        <w:spacing w:after="80"/>
      </w:pPr>
      <w:r>
        <w:rPr>
          <w:sz w:val="22"/>
          <w:szCs w:val="22"/>
        </w:rPr>
        <w:t xml:space="preserve">Conduct a root-cause review of Road operations in the West and North regions.</w:t>
      </w:r>
    </w:p>
    <w:p>
      <w:pPr>
        <w:pStyle w:val="ListParagraph"/>
        <w:numPr>
          <w:ilvl w:val="0"/>
          <w:numId w:val="1"/>
        </w:numPr>
        <w:spacing w:after="80"/>
      </w:pPr>
      <w:r>
        <w:rPr>
          <w:sz w:val="22"/>
          <w:szCs w:val="22"/>
        </w:rPr>
        <w:t xml:space="preserve">Set an internal service target to keep delays under 2 days, based on the observed satisfaction drop-off.</w:t>
      </w:r>
    </w:p>
    <w:p>
      <w:pPr>
        <w:pStyle w:val="ListParagraph"/>
        <w:numPr>
          <w:ilvl w:val="0"/>
          <w:numId w:val="1"/>
        </w:numPr>
        <w:spacing w:after="80"/>
      </w:pPr>
      <w:r>
        <w:rPr>
          <w:sz w:val="22"/>
          <w:szCs w:val="22"/>
        </w:rPr>
        <w:t xml:space="preserve">Introduce stronger handling protocols for long-distance Road shipments to reduce damage/loss.</w:t>
      </w:r>
    </w:p>
    <w:p>
      <w:pPr>
        <w:spacing w:after="160" w:before="320"/>
      </w:pPr>
      <w:r>
        <w:rPr>
          <w:b/>
          <w:bCs/>
          <w:color w:val="2E5C8A"/>
          <w:sz w:val="30"/>
          <w:szCs w:val="30"/>
        </w:rPr>
        <w:t xml:space="preserve">8. Reflection</w:t>
      </w:r>
    </w:p>
    <w:p>
      <w:pPr>
        <w:spacing w:after="160"/>
        <w:jc w:val="both"/>
      </w:pPr>
      <w:r>
        <w:rPr>
          <w:sz w:val="22"/>
          <w:szCs w:val="22"/>
        </w:rPr>
        <w:t xml:space="preserve">This task showed that visualization is most valuable when each chart is chosen deliberately for the relationship it needs to reveal, rather than generated generically. Building on the cleaned and standardized dataset structure from Week 2, this week's analysis made it clear that delay — not distance or raw cost — is the dominant factor shaping customer experience. Computing correlations before visualizing also made it easier to decide which relationships were worth charting in detail versus summarizing in text.</w:t>
      </w:r>
    </w:p>
    <w:p>
      <w:pPr>
        <w:spacing w:after="160" w:before="320"/>
      </w:pPr>
      <w:r>
        <w:rPr>
          <w:b/>
          <w:bCs/>
          <w:color w:val="2E5C8A"/>
          <w:sz w:val="30"/>
          <w:szCs w:val="30"/>
        </w:rPr>
        <w:t xml:space="preserve">9. Expected Impact on the Project</w:t>
      </w:r>
    </w:p>
    <w:p>
      <w:pPr>
        <w:pStyle w:val="ListParagraph"/>
        <w:numPr>
          <w:ilvl w:val="0"/>
          <w:numId w:val="1"/>
        </w:numPr>
        <w:spacing w:after="80"/>
      </w:pPr>
      <w:r>
        <w:rPr>
          <w:sz w:val="22"/>
          <w:szCs w:val="22"/>
        </w:rPr>
        <w:t xml:space="preserve">A clearer, evidence-based view of which transport modes and regions need operational attention.</w:t>
      </w:r>
    </w:p>
    <w:p>
      <w:pPr>
        <w:pStyle w:val="ListParagraph"/>
        <w:numPr>
          <w:ilvl w:val="0"/>
          <w:numId w:val="1"/>
        </w:numPr>
        <w:spacing w:after="80"/>
      </w:pPr>
      <w:r>
        <w:rPr>
          <w:sz w:val="22"/>
          <w:szCs w:val="22"/>
        </w:rPr>
        <w:t xml:space="preserve">A reusable EDA and visualization workflow for later weeks' predictive modelling of delay risk.</w:t>
      </w:r>
    </w:p>
    <w:p>
      <w:pPr>
        <w:pStyle w:val="ListParagraph"/>
        <w:numPr>
          <w:ilvl w:val="0"/>
          <w:numId w:val="1"/>
        </w:numPr>
        <w:spacing w:after="80"/>
      </w:pPr>
      <w:r>
        <w:rPr>
          <w:sz w:val="22"/>
          <w:szCs w:val="22"/>
        </w:rPr>
        <w:t xml:space="preserve">A defined service-level reference point (2-day delay threshold) for future KPI tracking.</w:t>
      </w:r>
    </w:p>
    <w:p>
      <w:pPr>
        <w:pStyle w:val="ListParagraph"/>
        <w:numPr>
          <w:ilvl w:val="0"/>
          <w:numId w:val="1"/>
        </w:numPr>
        <w:spacing w:after="80"/>
      </w:pPr>
      <w:r>
        <w:rPr>
          <w:sz w:val="22"/>
          <w:szCs w:val="22"/>
        </w:rPr>
        <w:t xml:space="preserve">Visual assets that can support stakeholder-facing reporting alongside the technical analysis.</w:t>
      </w:r>
    </w:p>
    <w:p>
      <w:pPr>
        <w:spacing w:after="160" w:before="320"/>
      </w:pPr>
      <w:r>
        <w:rPr>
          <w:b/>
          <w:bCs/>
          <w:color w:val="2E5C8A"/>
          <w:sz w:val="30"/>
          <w:szCs w:val="30"/>
        </w:rPr>
        <w:t xml:space="preserve">10. Conclusion</w:t>
      </w:r>
    </w:p>
    <w:p>
      <w:pPr>
        <w:spacing w:after="160"/>
        <w:jc w:val="both"/>
      </w:pPr>
      <w:r>
        <w:rPr>
          <w:sz w:val="22"/>
          <w:szCs w:val="22"/>
        </w:rPr>
        <w:t xml:space="preserve">Week 3 built directly on the cleaned dataset structure established in Week 2, applying exploratory data analysis and visualization to convert logistics data into actionable insight. The analysis identified delivery delay as the dominant factor behind customer dissatisfaction and highlighted transport mode and regional performance as the key levers for operational improvement. The Python-based workflow — pandas for analysis, matplotlib and seaborn for visualization — is directly reusable on real logistics data in subsequent stages of the project.</w:t>
      </w:r>
    </w:p>
    <w:p>
      <w:pPr>
        <w:spacing w:after="160" w:before="320"/>
      </w:pPr>
      <w:r>
        <w:rPr>
          <w:b/>
          <w:bCs/>
          <w:color w:val="2E5C8A"/>
          <w:sz w:val="30"/>
          <w:szCs w:val="30"/>
        </w:rPr>
        <w:t xml:space="preserve">11. Tools and Technologies</w:t>
      </w:r>
    </w:p>
    <w:p>
      <w:pPr>
        <w:spacing w:after="160"/>
        <w:jc w:val="both"/>
      </w:pPr>
      <w:r>
        <w:rPr>
          <w:sz w:val="22"/>
          <w:szCs w:val="22"/>
        </w:rPr>
        <w:t xml:space="preserve">Python, pandas, NumPy, matplotlib and seaborn are the primary technologies used in this workflow. Pandas supports aggregation and correlation analysis; matplotlib and seaborn provide the statistical visualizations used to interpret logistics performance.</w:t>
      </w:r>
    </w:p>
    <w:p>
      <w:pPr>
        <w:spacing w:after="160" w:before="320"/>
      </w:pPr>
      <w:r>
        <w:rPr>
          <w:b/>
          <w:bCs/>
          <w:color w:val="2E5C8A"/>
          <w:sz w:val="30"/>
          <w:szCs w:val="30"/>
        </w:rPr>
        <w:t xml:space="preserve">12. References</w:t>
      </w:r>
    </w:p>
    <w:p>
      <w:pPr>
        <w:spacing w:after="160"/>
        <w:jc w:val="both"/>
      </w:pPr>
      <w:r>
        <w:rPr>
          <w:sz w:val="22"/>
          <w:szCs w:val="22"/>
        </w:rPr>
        <w:t xml:space="preserve">1. Python pandas documentation — data aggregation and analysis concepts.</w:t>
      </w:r>
    </w:p>
    <w:p>
      <w:pPr>
        <w:spacing w:after="160"/>
        <w:jc w:val="both"/>
      </w:pPr>
      <w:r>
        <w:rPr>
          <w:sz w:val="22"/>
          <w:szCs w:val="22"/>
        </w:rPr>
        <w:t xml:space="preserve">2. Matplotlib and seaborn documentation — statistical visualization concepts.</w:t>
      </w:r>
    </w:p>
    <w:p>
      <w:pPr>
        <w:spacing w:after="160"/>
        <w:jc w:val="both"/>
      </w:pPr>
      <w:r>
        <w:rPr>
          <w:sz w:val="22"/>
          <w:szCs w:val="22"/>
        </w:rPr>
        <w:t xml:space="preserve">3. Public logistics/e-commerce dataset resources used as a reference for the simulated dataset structure.</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Week 3 – Logistics Data Analyst Internship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f3e8132d7feddb8b406744de043c8ab2620845.png"/><Relationship Id="rId9" Type="http://schemas.openxmlformats.org/officeDocument/2006/relationships/image" Target="media/62de8adbcc40510aab962ac440b320cde6a49792.png"/><Relationship Id="rId10" Type="http://schemas.openxmlformats.org/officeDocument/2006/relationships/image" Target="media/3cde03d4931f954ccebed03c199d5c7e2de9d523.png"/><Relationship Id="rId11" Type="http://schemas.openxmlformats.org/officeDocument/2006/relationships/image" Target="media/9f50694179d552310b8e55411e74a8dd7256484d.png"/><Relationship Id="rId12" Type="http://schemas.openxmlformats.org/officeDocument/2006/relationships/image" Target="media/e481b86bb0eec7f68d8171b21f0f46f8a80f3e4d.png"/><Relationship Id="rId13" Type="http://schemas.openxmlformats.org/officeDocument/2006/relationships/image" Target="media/44af40ce274ca698f6394b95007965d985403187.png"/><Relationship Id="rId14" Type="http://schemas.openxmlformats.org/officeDocument/2006/relationships/image" Target="media/f386c5bc56949e8977b1dbc630a521bfa47a487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2026-09-06T16:37:50.351Z</dcterms:created>
  <dcterms:modified xsi:type="dcterms:W3CDTF">2026-09-06T16:37:50.362Z</dcterms:modified>
</cp:coreProperties>
</file>

<file path=docProps/custom.xml><?xml version="1.0" encoding="utf-8"?>
<Properties xmlns="http://schemas.openxmlformats.org/officeDocument/2006/custom-properties" xmlns:vt="http://schemas.openxmlformats.org/officeDocument/2006/docPropsVTypes"/>
</file>