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4"/>
        </w:rPr>
      </w:pPr>
      <w:bookmarkStart w:id="1001" w:name=""/>
      <w:r>
        <w:rPr>
          <w:rFonts w:ascii="宋体" w:cs="宋体" w:eastAsia="宋体" w:hAnsi="宋体"/>
          <w:sz w:val="24"/>
          <w:spacing w:val="0"/>
          <w:b w:val="off"/>
          <w:i w:val="off"/>
        </w:rPr>
        <w:t>Cubical Agda作为一种基于立方类型论的依赖类型编程语言和证明辅助工具，近年来已成为形式化数学和同伦类型论研究的重要平台。本文将从形式化库生态、高阶同伦论发展、同伦类型论与经典代数拓扑的认知差异三个维度，系统阐述Cubical Agda的理论基础与应用前景，特别关注其支持的高维动态本体几何表示能力，包括螺旋测地线、极限环等复杂结构的非闭合相位建模。</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一、Cubical Agda的形式化库生态系统</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Cubical Agda的形式化库已形成相对完整的生态系统，主要包含以下几类库：</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1.1 基础库与核心实现</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n"/>
          <w:i w:val="off"/>
        </w:rPr>
        <w:t>Cubical Core Primitives库</w:t>
      </w:r>
      <w:r>
        <w:rPr>
          <w:rFonts w:ascii="宋体" w:cs="宋体" w:eastAsia="宋体" w:hAnsi="宋体"/>
          <w:sz w:val="24"/>
          <w:spacing w:val="0"/>
          <w:b w:val="off"/>
          <w:i w:val="off"/>
        </w:rPr>
        <w:t>是Cubical Agda的基础核心，提供了区间类型(I)、路径类型(Path)、部分元素类型(Partial)等基本概念。该库实现了CCHM立方类型论的核心操作符，包括：</w:t>
      </w:r>
      <w:bookmarkEnd w:id="1005"/>
    </w:p>
    <w:p>
      <w:pPr>
        <w:pageBreakBefore w:val="off"/>
        <w:numPr>
          <w:ilvl w:val="0"/>
          <w:numId w:val="1"/>
        </w:numPr>
        <w:tabs/>
        <w:wordWrap w:val="on"/>
        <w:spacing w:after="0" w:before="160"/>
        <w:ind w:hanging="440" w:left="440" w:right="0"/>
        <w:jc w:val="left"/>
        <w:textAlignment w:val="auto"/>
        <w:rPr>
          <w:sz w:val="24"/>
        </w:rPr>
      </w:pPr>
      <w:bookmarkStart w:id="1006" w:name=""/>
      <w:r>
        <w:rPr>
          <w:rFonts w:ascii="宋体" w:cs="宋体" w:eastAsia="宋体" w:hAnsi="宋体"/>
          <w:sz w:val="24"/>
          <w:spacing w:val="0"/>
          <w:b w:val="on"/>
          <w:i w:val="off"/>
        </w:rPr>
        <w:t>comp</w:t>
      </w:r>
      <w:r>
        <w:rPr>
          <w:rFonts w:ascii="宋体" w:cs="宋体" w:eastAsia="宋体" w:hAnsi="宋体"/>
          <w:sz w:val="24"/>
          <w:spacing w:val="0"/>
          <w:b w:val="off"/>
          <w:i w:val="off"/>
        </w:rPr>
        <w:t>：组合操作符，用于构造满足边界条件的开放立方体</w:t>
      </w:r>
      <w:bookmarkEnd w:id="1006"/>
    </w:p>
    <w:p>
      <w:pPr>
        <w:pageBreakBefore w:val="off"/>
        <w:numPr>
          <w:ilvl w:val="0"/>
          <w:numId w:val="1"/>
        </w:numPr>
        <w:tabs/>
        <w:wordWrap w:val="on"/>
        <w:spacing w:after="0" w:before="160"/>
        <w:ind w:hanging="440" w:left="440" w:right="0"/>
        <w:jc w:val="left"/>
        <w:textAlignment w:val="auto"/>
        <w:rPr>
          <w:sz w:val="24"/>
        </w:rPr>
      </w:pPr>
      <w:bookmarkStart w:id="1007" w:name=""/>
      <w:r>
        <w:rPr>
          <w:rFonts w:ascii="宋体" w:cs="宋体" w:eastAsia="宋体" w:hAnsi="宋体"/>
          <w:sz w:val="24"/>
          <w:spacing w:val="0"/>
          <w:b w:val="on"/>
          <w:i w:val="off"/>
        </w:rPr>
        <w:t>hcomp</w:t>
      </w:r>
      <w:r>
        <w:rPr>
          <w:rFonts w:ascii="宋体" w:cs="宋体" w:eastAsia="宋体" w:hAnsi="宋体"/>
          <w:sz w:val="24"/>
          <w:spacing w:val="0"/>
          <w:b w:val="off"/>
          <w:i w:val="off"/>
        </w:rPr>
        <w:t>：同质组合操作符，处理非依赖路径的组合</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n"/>
          <w:i w:val="off"/>
        </w:rPr>
        <w:t>transp</w:t>
      </w:r>
      <w:r>
        <w:rPr>
          <w:rFonts w:ascii="宋体" w:cs="宋体" w:eastAsia="宋体" w:hAnsi="宋体"/>
          <w:sz w:val="24"/>
          <w:spacing w:val="0"/>
          <w:b w:val="off"/>
          <w:i w:val="off"/>
        </w:rPr>
        <w:t>：传输操作符，用于在维度变化时保持路径的一致性</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n"/>
          <w:i w:val="off"/>
        </w:rPr>
        <w:t>IsOne</w:t>
      </w:r>
      <w:r>
        <w:rPr>
          <w:rFonts w:ascii="宋体" w:cs="宋体" w:eastAsia="宋体" w:hAnsi="宋体"/>
          <w:sz w:val="24"/>
          <w:spacing w:val="0"/>
          <w:b w:val="off"/>
          <w:i w:val="off"/>
        </w:rPr>
        <w:t>：表示约束条件"r = i1"，用于定义开区间条件</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ff"/>
          <w:i w:val="off"/>
        </w:rPr>
        <w:t>这些原始操作符为高阶同伦的计算提供了基础，使得Cubical Agda能够原生支持Univalence公理和高阶归纳类型(HITs)，这是传统Agda和其他证明辅助工具所不具备的。</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n"/>
          <w:i w:val="off"/>
        </w:rPr>
        <w:t>1.2 高阶同伦论库</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n"/>
          <w:i w:val="off"/>
        </w:rPr>
        <w:t>HoTT-Agda库</w:t>
      </w:r>
      <w:r>
        <w:rPr>
          <w:rFonts w:ascii="宋体" w:cs="宋体" w:eastAsia="宋体" w:hAnsi="宋体"/>
          <w:sz w:val="24"/>
          <w:spacing w:val="0"/>
          <w:b w:val="off"/>
          <w:i w:val="off"/>
        </w:rPr>
        <w:t>是Cubical Agda中最主要的同伦类型论形式化库，它实现了同伦类型论的核心概念和定理，包括：</w:t>
      </w:r>
      <w:bookmarkEnd w:id="1012"/>
    </w:p>
    <w:p>
      <w:pPr>
        <w:pageBreakBefore w:val="off"/>
        <w:numPr>
          <w:ilvl w:val="0"/>
          <w:numId w:val="2"/>
        </w:numPr>
        <w:tabs/>
        <w:wordWrap w:val="on"/>
        <w:spacing w:after="0" w:before="160"/>
        <w:ind w:hanging="440" w:left="440" w:right="0"/>
        <w:jc w:val="left"/>
        <w:textAlignment w:val="auto"/>
        <w:rPr>
          <w:sz w:val="24"/>
        </w:rPr>
      </w:pPr>
      <w:bookmarkStart w:id="1013" w:name=""/>
      <w:r>
        <w:rPr>
          <w:rFonts w:ascii="宋体" w:cs="宋体" w:eastAsia="宋体" w:hAnsi="宋体"/>
          <w:sz w:val="24"/>
          <w:spacing w:val="0"/>
          <w:b w:val="on"/>
          <w:i w:val="off"/>
        </w:rPr>
        <w:t>高阶归纳类型(HITs)</w:t>
      </w:r>
      <w:r>
        <w:rPr>
          <w:rFonts w:ascii="宋体" w:cs="宋体" w:eastAsia="宋体" w:hAnsi="宋体"/>
          <w:sz w:val="24"/>
          <w:spacing w:val="0"/>
          <w:b w:val="off"/>
          <w:i w:val="off"/>
        </w:rPr>
        <w:t>：如球面</w:t>
      </w:r>
      <w:r>
        <w:rPr>
          <w:rFonts w:ascii="宋体" w:cs="宋体" w:eastAsia="宋体" w:hAnsi="宋体"/>
          <w:sz w:val="24"/>
          <w:spacing w:val="0"/>
          <w:b w:val="off"/>
          <w:i w:val="off"/>
        </w:rPr>
        <w:t>、环面</w:t>
      </w:r>
      <w:r>
        <w:rPr>
          <w:rFonts w:ascii="宋体" w:cs="宋体" w:eastAsia="宋体" w:hAnsi="宋体"/>
          <w:sz w:val="24"/>
          <w:spacing w:val="0"/>
          <w:b w:val="off"/>
          <w:i w:val="off"/>
        </w:rPr>
        <w:t>、实射影平面</w:t>
      </w:r>
      <w:r>
        <w:rPr>
          <w:rFonts w:ascii="宋体" w:cs="宋体" w:eastAsia="宋体" w:hAnsi="宋体"/>
          <w:sz w:val="24"/>
          <w:spacing w:val="0"/>
          <w:b w:val="off"/>
          <w:i w:val="off"/>
        </w:rPr>
        <w:t>等基本空间的定义</w:t>
      </w:r>
      <w:bookmarkEnd w:id="1013"/>
    </w:p>
    <w:p>
      <w:pPr>
        <w:pageBreakBefore w:val="off"/>
        <w:numPr>
          <w:ilvl w:val="0"/>
          <w:numId w:val="2"/>
        </w:numPr>
        <w:tabs/>
        <w:wordWrap w:val="on"/>
        <w:spacing w:after="0" w:before="160"/>
        <w:ind w:hanging="440" w:left="440" w:right="0"/>
        <w:jc w:val="left"/>
        <w:textAlignment w:val="auto"/>
        <w:rPr>
          <w:sz w:val="24"/>
        </w:rPr>
      </w:pPr>
      <w:bookmarkStart w:id="1014" w:name=""/>
      <w:r>
        <w:rPr>
          <w:rFonts w:ascii="宋体" w:cs="宋体" w:eastAsia="宋体" w:hAnsi="宋体"/>
          <w:sz w:val="24"/>
          <w:spacing w:val="0"/>
          <w:b w:val="on"/>
          <w:i w:val="off"/>
        </w:rPr>
        <w:t>同伦群计算</w:t>
      </w:r>
      <w:r>
        <w:rPr>
          <w:rFonts w:ascii="宋体" w:cs="宋体" w:eastAsia="宋体" w:hAnsi="宋体"/>
          <w:sz w:val="24"/>
          <w:spacing w:val="0"/>
          <w:b w:val="off"/>
          <w:i w:val="off"/>
        </w:rPr>
        <w:t>：如π₁(S¹) ≌ ℤ、π₃(S³) ≌ ℤ/2ℤ等经典结果的形式化证明</w:t>
      </w:r>
      <w:bookmarkEnd w:id="1014"/>
    </w:p>
    <w:p>
      <w:pPr>
        <w:pageBreakBefore w:val="off"/>
        <w:numPr>
          <w:ilvl w:val="0"/>
          <w:numId w:val="2"/>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n"/>
          <w:i w:val="off"/>
        </w:rPr>
        <w:t>等价与Univalence</w:t>
      </w:r>
      <w:r>
        <w:rPr>
          <w:rFonts w:ascii="宋体" w:cs="宋体" w:eastAsia="宋体" w:hAnsi="宋体"/>
          <w:sz w:val="24"/>
          <w:spacing w:val="0"/>
          <w:b w:val="off"/>
          <w:i w:val="off"/>
        </w:rPr>
        <w:t>：通过路径类型直接表达类型间的等价关系，支持Univalence公理的计算性实现</w:t>
      </w:r>
      <w:bookmarkEnd w:id="1015"/>
    </w:p>
    <w:p>
      <w:pPr>
        <w:pageBreakBefore w:val="off"/>
        <w:tabs/>
        <w:wordWrap w:val="on"/>
        <w:spacing w:after="0" w:before="160"/>
        <w:ind w:left="0" w:right="0"/>
        <w:jc w:val="left"/>
        <w:textAlignment w:val="auto"/>
        <w:rPr>
          <w:sz w:val="24"/>
        </w:rPr>
      </w:pPr>
      <w:bookmarkStart w:id="1016" w:name=""/>
      <w:r>
        <w:rPr>
          <w:rFonts w:ascii="宋体" w:cs="宋体" w:eastAsia="宋体" w:hAnsi="宋体"/>
          <w:sz w:val="24"/>
          <w:spacing w:val="0"/>
          <w:b w:val="off"/>
          <w:i w:val="off"/>
        </w:rPr>
        <w:t>HoTT-Agda库在Cubical Agda中已实现超过25,000行代码，覆盖了同伦类型论基础的大部分内容，包括路径、纤维化、等价关系等核心概念。值得注意的是，HoTT-Agda库中通过高阶归纳类型定义的</w:t>
      </w:r>
      <w:r>
        <w:rPr>
          <w:rFonts w:ascii="宋体" w:cs="宋体" w:eastAsia="宋体" w:hAnsi="宋体"/>
          <w:sz w:val="24"/>
          <w:spacing w:val="0"/>
          <w:b w:val="off"/>
          <w:i w:val="off"/>
        </w:rPr>
        <w:t>类型包含一个基本点</w:t>
      </w:r>
      <w:r>
        <w:rPr>
          <w:rFonts w:ascii="宋体" w:cs="宋体" w:eastAsia="宋体" w:hAnsi="宋体"/>
          <w:sz w:val="24"/>
          <w:spacing w:val="0"/>
          <w:b w:val="off"/>
          <w:i w:val="off"/>
        </w:rPr>
        <w:t>和一个基本环路</w:t>
      </w:r>
      <w:r>
        <w:rPr>
          <w:rFonts w:ascii="宋体" w:cs="宋体" w:eastAsia="宋体" w:hAnsi="宋体"/>
          <w:sz w:val="24"/>
          <w:spacing w:val="0"/>
          <w:b w:val="off"/>
          <w:i w:val="off"/>
        </w:rPr>
        <w:t>，这直接对应了经典代数拓扑中S¹的基本群结构。</w:t>
      </w:r>
      <w:bookmarkEnd w:id="1016"/>
    </w:p>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n"/>
          <w:i w:val="off"/>
        </w:rPr>
        <w:t>1.3 几何与范畴论库</w:t>
      </w:r>
      <w:bookmarkEnd w:id="1017"/>
    </w:p>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n"/>
          <w:i w:val="off"/>
        </w:rPr>
        <w:t>1lab库</w:t>
      </w:r>
      <w:r>
        <w:rPr>
          <w:rFonts w:ascii="宋体" w:cs="宋体" w:eastAsia="宋体" w:hAnsi="宋体"/>
          <w:sz w:val="24"/>
          <w:spacing w:val="0"/>
          <w:b w:val="off"/>
          <w:i w:val="off"/>
        </w:rPr>
        <w:t>是专注于范畴论（尤其是1-范畴）形式化的跨链接参考资源，它基于立方类型论构建了范畴论的基础框架。尽管1lab库主要关注1-范畴，但其基于立方类型论的设计为高维范畴和几何结构提供了理论基础。</w:t>
      </w:r>
      <w:bookmarkEnd w:id="1018"/>
    </w:p>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ff"/>
          <w:i w:val="off"/>
        </w:rPr>
        <w:t>**Agda Universal Algebra Library (UALib)**则是专注于通用代数和等式逻辑的形式化，它结合依赖类型表示关系和代数结构，为数学形式化提供了丰富的代数工具。UALib已实现了多项代数拓扑的基础结果，但尚未专门针对高维动态几何进行优化。</w:t>
      </w:r>
      <w:bookmarkEnd w:id="1019"/>
    </w:p>
    <w:p>
      <w:pPr>
        <w:pageBreakBefore w:val="off"/>
        <w:tabs/>
        <w:wordWrap w:val="on"/>
        <w:spacing w:after="0" w:before="160"/>
        <w:ind w:left="0" w:right="0"/>
        <w:jc w:val="left"/>
        <w:textAlignment w:val="auto"/>
        <w:rPr>
          <w:sz w:val="28"/>
        </w:rPr>
      </w:pPr>
      <w:bookmarkStart w:id="1020" w:name=""/>
      <w:r>
        <w:rPr>
          <w:rFonts w:ascii="宋体" w:cs="宋体" w:eastAsia="宋体" w:hAnsi="宋体"/>
          <w:sz w:val="28"/>
          <w:spacing w:val="0"/>
          <w:b w:val="on"/>
          <w:i w:val="off"/>
        </w:rPr>
        <w:t>二、高阶同伦论(HoTT)的发展历程与现状</w:t>
      </w:r>
      <w:bookmarkEnd w:id="1020"/>
    </w:p>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ff"/>
          <w:i w:val="off"/>
        </w:rPr>
        <w:t>高阶同伦论(HoTT)自2009年由Vladimir Voevodsky提出Univalence公理以来，经历了从理论探索到实际应用的快速发展：</w:t>
      </w:r>
      <w:bookmarkEnd w:id="1021"/>
    </w:p>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n"/>
          <w:i w:val="off"/>
        </w:rPr>
        <w:t>2.1 理论突破</w:t>
      </w:r>
      <w:bookmarkEnd w:id="1022"/>
    </w:p>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n"/>
          <w:i w:val="off"/>
        </w:rPr>
        <w:t>2009-2013年</w:t>
      </w:r>
      <w:r>
        <w:rPr>
          <w:rFonts w:ascii="宋体" w:cs="宋体" w:eastAsia="宋体" w:hAnsi="宋体"/>
          <w:sz w:val="24"/>
          <w:spacing w:val="0"/>
          <w:b w:val="off"/>
          <w:i w:val="off"/>
        </w:rPr>
        <w:t>：Voevodsky提出Univalence公理，Awodey和Warren提出类型论的模型范畴解释，为HoTT提供了理论基础。这一时期，同伦类型论被视为传统类型论的扩展，将类型解释为高阶同伦结构（∞-groupoids）。</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n"/>
          <w:i w:val="off"/>
        </w:rPr>
        <w:t>2013-2016年</w:t>
      </w:r>
      <w:r>
        <w:rPr>
          <w:rFonts w:ascii="宋体" w:cs="宋体" w:eastAsia="宋体" w:hAnsi="宋体"/>
          <w:sz w:val="24"/>
          <w:spacing w:val="0"/>
          <w:b w:val="off"/>
          <w:i w:val="off"/>
        </w:rPr>
        <w:t>：**高阶归纳类型(HITs)**的提出成为HoTT的重要突破，它允许直接定义具有高阶同伦结构的空间，如球面、环面等。2016年，Brunerie证明了π₄(S³) ≌ ℤ/2ℤ，成为HoTT领域最著名的成果之一。</w:t>
      </w:r>
      <w:bookmarkEnd w:id="1024"/>
    </w:p>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n"/>
          <w:i w:val="off"/>
        </w:rPr>
        <w:t>2018-2021年</w:t>
      </w:r>
      <w:r>
        <w:rPr>
          <w:rFonts w:ascii="宋体" w:cs="宋体" w:eastAsia="宋体" w:hAnsi="宋体"/>
          <w:sz w:val="24"/>
          <w:spacing w:val="0"/>
          <w:b w:val="off"/>
          <w:i w:val="off"/>
        </w:rPr>
        <w:t>：</w:t>
      </w:r>
      <w:r>
        <w:rPr>
          <w:rFonts w:ascii="宋体" w:cs="宋体" w:eastAsia="宋体" w:hAnsi="宋体"/>
          <w:sz w:val="24"/>
          <w:spacing w:val="0"/>
          <w:b w:val="on"/>
          <w:i w:val="off"/>
        </w:rPr>
        <w:t>立方类型论</w:t>
      </w:r>
      <w:r>
        <w:rPr>
          <w:rFonts w:ascii="宋体" w:cs="宋体" w:eastAsia="宋体" w:hAnsi="宋体"/>
          <w:sz w:val="24"/>
          <w:spacing w:val="0"/>
          <w:b w:val="off"/>
          <w:i w:val="off"/>
        </w:rPr>
        <w:t>的出现解决了HoTT中Univalence和HITs缺乏计算语义的问题。Andrea Vezzosi、Anders Mörtberg和Andreas Abel于2019年提出了Cubical Agda的实现，使得Univalence和HITs具有了计算行为，这一突破为HoTT的实际应用开辟了新道路。</w:t>
      </w:r>
      <w:bookmarkEnd w:id="1025"/>
    </w:p>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n"/>
          <w:i w:val="off"/>
        </w:rPr>
        <w:t>2023年至今</w:t>
      </w:r>
      <w:r>
        <w:rPr>
          <w:rFonts w:ascii="宋体" w:cs="宋体" w:eastAsia="宋体" w:hAnsi="宋体"/>
          <w:sz w:val="24"/>
          <w:spacing w:val="0"/>
          <w:b w:val="off"/>
          <w:i w:val="off"/>
        </w:rPr>
        <w:t>：HoTT与高阶范畴论(∞-category theory)的结合成为新热点。Riehl-Verity的∞-cosmos理论为HoTT提供了新的数学视角，使得在类型论中直接处理高阶范畴成为可能。这一发展为高维动态本体几何的表示提供了更强大的理论工具。</w:t>
      </w:r>
      <w:bookmarkEnd w:id="1026"/>
    </w:p>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n"/>
          <w:i w:val="off"/>
        </w:rPr>
        <w:t>2.2 证明辅助工具的实现</w:t>
      </w:r>
      <w:bookmarkEnd w:id="1027"/>
    </w:p>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n"/>
          <w:i w:val="off"/>
        </w:rPr>
        <w:t>Cubical Agda</w:t>
      </w:r>
      <w:r>
        <w:rPr>
          <w:rFonts w:ascii="宋体" w:cs="宋体" w:eastAsia="宋体" w:hAnsi="宋体"/>
          <w:sz w:val="24"/>
          <w:spacing w:val="0"/>
          <w:b w:val="off"/>
          <w:i w:val="off"/>
        </w:rPr>
        <w:t>在HoTT实现中具有独特优势，它通过以下特性支持高阶同伦的计算：</w:t>
      </w:r>
      <w:bookmarkEnd w:id="1028"/>
    </w:p>
    <w:p>
      <w:pPr>
        <w:pageBreakBefore w:val="off"/>
        <w:numPr>
          <w:ilvl w:val="0"/>
          <w:numId w:val="3"/>
        </w:numPr>
        <w:tabs/>
        <w:wordWrap w:val="on"/>
        <w:spacing w:after="0" w:before="160"/>
        <w:ind w:hanging="440" w:left="440" w:right="0"/>
        <w:jc w:val="left"/>
        <w:textAlignment w:val="auto"/>
        <w:rPr>
          <w:sz w:val="24"/>
        </w:rPr>
      </w:pPr>
      <w:bookmarkStart w:id="1029" w:name=""/>
      <w:r>
        <w:rPr>
          <w:rFonts w:ascii="宋体" w:cs="宋体" w:eastAsia="宋体" w:hAnsi="宋体"/>
          <w:sz w:val="24"/>
          <w:spacing w:val="0"/>
          <w:b w:val="on"/>
          <w:i w:val="off"/>
        </w:rPr>
        <w:t>原生支持Univalence</w:t>
      </w:r>
      <w:r>
        <w:rPr>
          <w:rFonts w:ascii="宋体" w:cs="宋体" w:eastAsia="宋体" w:hAnsi="宋体"/>
          <w:sz w:val="24"/>
          <w:spacing w:val="0"/>
          <w:b w:val="off"/>
          <w:i w:val="off"/>
        </w:rPr>
        <w:t>：无需额外公理，Univalence在Cubical Agda中具有计算行为</w:t>
      </w:r>
      <w:bookmarkEnd w:id="1029"/>
    </w:p>
    <w:p>
      <w:pPr>
        <w:pageBreakBefore w:val="off"/>
        <w:numPr>
          <w:ilvl w:val="0"/>
          <w:numId w:val="3"/>
        </w:numPr>
        <w:tabs/>
        <w:wordWrap w:val="on"/>
        <w:spacing w:after="0" w:before="160"/>
        <w:ind w:hanging="440" w:left="440" w:right="0"/>
        <w:jc w:val="left"/>
        <w:textAlignment w:val="auto"/>
        <w:rPr>
          <w:sz w:val="24"/>
        </w:rPr>
      </w:pPr>
      <w:bookmarkStart w:id="1030" w:name=""/>
      <w:r>
        <w:rPr>
          <w:rFonts w:ascii="宋体" w:cs="宋体" w:eastAsia="宋体" w:hAnsi="宋体"/>
          <w:sz w:val="24"/>
          <w:spacing w:val="0"/>
          <w:b w:val="on"/>
          <w:i w:val="off"/>
        </w:rPr>
        <w:t>高阶归纳类型的直接定义</w:t>
      </w:r>
      <w:r>
        <w:rPr>
          <w:rFonts w:ascii="宋体" w:cs="宋体" w:eastAsia="宋体" w:hAnsi="宋体"/>
          <w:sz w:val="24"/>
          <w:spacing w:val="0"/>
          <w:b w:val="off"/>
          <w:i w:val="off"/>
        </w:rPr>
        <w:t>：如</w:t>
      </w:r>
      <w:r>
        <w:rPr>
          <w:rFonts w:ascii="宋体" w:cs="宋体" w:eastAsia="宋体" w:hAnsi="宋体"/>
          <w:sz w:val="24"/>
          <w:spacing w:val="0"/>
          <w:b w:val="off"/>
          <w:i w:val="off"/>
        </w:rPr>
        <w:t>、</w:t>
      </w:r>
      <w:r>
        <w:rPr>
          <w:rFonts w:ascii="宋体" w:cs="宋体" w:eastAsia="宋体" w:hAnsi="宋体"/>
          <w:sz w:val="24"/>
          <w:spacing w:val="0"/>
          <w:b w:val="off"/>
          <w:i w:val="off"/>
        </w:rPr>
        <w:t>等基本空间的定义</w:t>
      </w:r>
      <w:bookmarkEnd w:id="1030"/>
    </w:p>
    <w:p>
      <w:pPr>
        <w:pageBreakBefore w:val="off"/>
        <w:numPr>
          <w:ilvl w:val="0"/>
          <w:numId w:val="3"/>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n"/>
          <w:i w:val="off"/>
        </w:rPr>
        <w:t>路径类型的组合与归约</w:t>
      </w:r>
      <w:r>
        <w:rPr>
          <w:rFonts w:ascii="宋体" w:cs="宋体" w:eastAsia="宋体" w:hAnsi="宋体"/>
          <w:sz w:val="24"/>
          <w:spacing w:val="0"/>
          <w:b w:val="off"/>
          <w:i w:val="off"/>
        </w:rPr>
        <w:t>：通过</w:t>
      </w:r>
      <w:r>
        <w:rPr>
          <w:rFonts w:ascii="宋体" w:cs="宋体" w:eastAsia="宋体" w:hAnsi="宋体"/>
          <w:sz w:val="24"/>
          <w:spacing w:val="0"/>
          <w:b w:val="off"/>
          <w:i w:val="off"/>
        </w:rPr>
        <w:t>、</w:t>
      </w:r>
      <w:r>
        <w:rPr>
          <w:rFonts w:ascii="宋体" w:cs="宋体" w:eastAsia="宋体" w:hAnsi="宋体"/>
          <w:sz w:val="24"/>
          <w:spacing w:val="0"/>
          <w:b w:val="off"/>
          <w:i w:val="off"/>
        </w:rPr>
        <w:t>和</w:t>
      </w:r>
      <w:r>
        <w:rPr>
          <w:rFonts w:ascii="宋体" w:cs="宋体" w:eastAsia="宋体" w:hAnsi="宋体"/>
          <w:sz w:val="24"/>
          <w:spacing w:val="0"/>
          <w:b w:val="off"/>
          <w:i w:val="off"/>
        </w:rPr>
        <w:t>操作符实现路径的计算性组合</w:t>
      </w:r>
      <w:bookmarkEnd w:id="1031"/>
    </w:p>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ff"/>
          <w:i w:val="off"/>
        </w:rPr>
        <w:t>相比之下，其他证明辅助工具在HoTT实现上各有特点：</w:t>
      </w:r>
      <w:bookmarkEnd w:id="1032"/>
    </w:p>
    <w:p>
      <w:pPr>
        <w:pageBreakBefore w:val="off"/>
        <w:numPr>
          <w:ilvl w:val="0"/>
          <w:numId w:val="4"/>
        </w:numPr>
        <w:tabs/>
        <w:wordWrap w:val="on"/>
        <w:spacing w:after="0" w:before="160"/>
        <w:ind w:hanging="440" w:left="440" w:right="0"/>
        <w:jc w:val="left"/>
        <w:textAlignment w:val="auto"/>
        <w:rPr>
          <w:sz w:val="24"/>
        </w:rPr>
      </w:pPr>
      <w:bookmarkStart w:id="1033" w:name=""/>
      <w:r>
        <w:rPr>
          <w:rFonts w:ascii="宋体" w:cs="宋体" w:eastAsia="宋体" w:hAnsi="宋体"/>
          <w:sz w:val="24"/>
          <w:spacing w:val="0"/>
          <w:b w:val="on"/>
          <w:i w:val="off"/>
        </w:rPr>
        <w:t>Lean</w:t>
      </w:r>
      <w:r>
        <w:rPr>
          <w:rFonts w:ascii="宋体" w:cs="宋体" w:eastAsia="宋体" w:hAnsi="宋体"/>
          <w:sz w:val="24"/>
          <w:spacing w:val="0"/>
          <w:b w:val="off"/>
          <w:i w:val="off"/>
        </w:rPr>
        <w:t>：通过Guarded Cubical Agda支持时序建模，但主要聚焦于传统数学的形式化</w:t>
      </w:r>
      <w:bookmarkEnd w:id="1033"/>
    </w:p>
    <w:p>
      <w:pPr>
        <w:pageBreakBefore w:val="off"/>
        <w:numPr>
          <w:ilvl w:val="0"/>
          <w:numId w:val="4"/>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n"/>
          <w:i w:val="off"/>
        </w:rPr>
        <w:t>Coq</w:t>
      </w:r>
      <w:r>
        <w:rPr>
          <w:rFonts w:ascii="宋体" w:cs="宋体" w:eastAsia="宋体" w:hAnsi="宋体"/>
          <w:sz w:val="24"/>
          <w:spacing w:val="0"/>
          <w:b w:val="off"/>
          <w:i w:val="off"/>
        </w:rPr>
        <w:t>：传统HoTT库依赖命题等价，缺乏路径的计算归约能力</w:t>
      </w:r>
      <w:bookmarkEnd w:id="1034"/>
    </w:p>
    <w:p>
      <w:pPr>
        <w:pageBreakBefore w:val="off"/>
        <w:numPr>
          <w:ilvl w:val="0"/>
          <w:numId w:val="4"/>
        </w:numPr>
        <w:tabs/>
        <w:wordWrap w:val="on"/>
        <w:spacing w:after="0" w:before="160"/>
        <w:ind w:hanging="440" w:left="440" w:right="0"/>
        <w:jc w:val="left"/>
        <w:textAlignment w:val="auto"/>
        <w:rPr>
          <w:sz w:val="24"/>
        </w:rPr>
      </w:pPr>
      <w:bookmarkStart w:id="1035" w:name=""/>
      <w:r>
        <w:rPr>
          <w:rFonts w:ascii="宋体" w:cs="宋体" w:eastAsia="宋体" w:hAnsi="宋体"/>
          <w:sz w:val="24"/>
          <w:spacing w:val="0"/>
          <w:b w:val="on"/>
          <w:i w:val="off"/>
        </w:rPr>
        <w:t>UniMath</w:t>
      </w:r>
      <w:r>
        <w:rPr>
          <w:rFonts w:ascii="宋体" w:cs="宋体" w:eastAsia="宋体" w:hAnsi="宋体"/>
          <w:sz w:val="24"/>
          <w:spacing w:val="0"/>
          <w:b w:val="off"/>
          <w:i w:val="off"/>
        </w:rPr>
        <w:t>：主要基于Coq实现，但部分成果已适配Cubical Agda</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n"/>
          <w:i w:val="off"/>
        </w:rPr>
        <w:t>Cubical Agda的局限性</w:t>
      </w:r>
      <w:r>
        <w:rPr>
          <w:rFonts w:ascii="宋体" w:cs="宋体" w:eastAsia="宋体" w:hAnsi="宋体"/>
          <w:sz w:val="24"/>
          <w:spacing w:val="0"/>
          <w:b w:val="off"/>
          <w:i w:val="off"/>
        </w:rPr>
        <w:t>主要体现在：</w:t>
      </w:r>
      <w:bookmarkEnd w:id="1036"/>
    </w:p>
    <w:p>
      <w:pPr>
        <w:pageBreakBefore w:val="off"/>
        <w:numPr>
          <w:ilvl w:val="0"/>
          <w:numId w:val="5"/>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ff"/>
          <w:i w:val="off"/>
        </w:rPr>
        <w:t>2021年前存在归纳类型族的计算问题</w:t>
      </w:r>
      <w:bookmarkEnd w:id="1037"/>
    </w:p>
    <w:p>
      <w:pPr>
        <w:pageBreakBefore w:val="off"/>
        <w:numPr>
          <w:ilvl w:val="0"/>
          <w:numId w:val="5"/>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ff"/>
          <w:i w:val="off"/>
        </w:rPr>
        <w:t>对于高阶同伦的自动化证明支持有限</w:t>
      </w:r>
      <w:bookmarkEnd w:id="1038"/>
    </w:p>
    <w:p>
      <w:pPr>
        <w:pageBreakBefore w:val="off"/>
        <w:tabs/>
        <w:wordWrap w:val="on"/>
        <w:spacing w:after="0" w:before="160"/>
        <w:ind w:left="0" w:right="0"/>
        <w:jc w:val="left"/>
        <w:textAlignment w:val="auto"/>
        <w:rPr>
          <w:sz w:val="28"/>
        </w:rPr>
      </w:pPr>
      <w:bookmarkStart w:id="1039" w:name=""/>
      <w:r>
        <w:rPr>
          <w:rFonts w:ascii="宋体" w:cs="宋体" w:eastAsia="宋体" w:hAnsi="宋体"/>
          <w:sz w:val="28"/>
          <w:spacing w:val="0"/>
          <w:b w:val="on"/>
          <w:i w:val="off"/>
        </w:rPr>
        <w:t>三、同伦类型论与经典代数拓扑的认知差异</w:t>
      </w:r>
      <w:bookmarkEnd w:id="1039"/>
    </w:p>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ff"/>
          <w:i w:val="off"/>
        </w:rPr>
        <w:t>同伦类型论与经典代数拓扑在基本群和同调群概念上存在根本性差异，这些差异反映了两种理论框架对几何结构的不同认知：</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n"/>
          <w:i w:val="off"/>
        </w:rPr>
        <w:t>3.1 基本群的表示差异</w:t>
      </w:r>
      <w:bookmarkEnd w:id="1041"/>
    </w:p>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n"/>
          <w:i w:val="off"/>
        </w:rPr>
        <w:t>经典代数拓扑</w:t>
      </w:r>
      <w:r>
        <w:rPr>
          <w:rFonts w:ascii="宋体" w:cs="宋体" w:eastAsia="宋体" w:hAnsi="宋体"/>
          <w:sz w:val="24"/>
          <w:spacing w:val="0"/>
          <w:b w:val="off"/>
          <w:i w:val="off"/>
        </w:rPr>
        <w:t>中的基本群π₁(X,x₀)是基于闭合路径的同伦类定义的，它具有以下特点：</w:t>
      </w:r>
      <w:bookmarkEnd w:id="1042"/>
    </w:p>
    <w:p>
      <w:pPr>
        <w:pageBreakBefore w:val="off"/>
        <w:numPr>
          <w:ilvl w:val="0"/>
          <w:numId w:val="6"/>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n"/>
          <w:i w:val="off"/>
        </w:rPr>
        <w:t>集合论构造</w:t>
      </w:r>
      <w:r>
        <w:rPr>
          <w:rFonts w:ascii="宋体" w:cs="宋体" w:eastAsia="宋体" w:hAnsi="宋体"/>
          <w:sz w:val="24"/>
          <w:spacing w:val="0"/>
          <w:b w:val="off"/>
          <w:i w:val="off"/>
        </w:rPr>
        <w:t>：通过等价类的商构造得到，天然为群结构</w:t>
      </w:r>
      <w:bookmarkEnd w:id="1043"/>
    </w:p>
    <w:p>
      <w:pPr>
        <w:pageBreakBefore w:val="off"/>
        <w:numPr>
          <w:ilvl w:val="0"/>
          <w:numId w:val="6"/>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n"/>
          <w:i w:val="off"/>
        </w:rPr>
        <w:t>一维投影</w:t>
      </w:r>
      <w:r>
        <w:rPr>
          <w:rFonts w:ascii="宋体" w:cs="宋体" w:eastAsia="宋体" w:hAnsi="宋体"/>
          <w:sz w:val="24"/>
          <w:spacing w:val="0"/>
          <w:b w:val="off"/>
          <w:i w:val="off"/>
        </w:rPr>
        <w:t>：将高阶同伦结构"砍"到一维，丢失了高阶信息</w:t>
      </w:r>
      <w:bookmarkEnd w:id="1044"/>
    </w:p>
    <w:p>
      <w:pPr>
        <w:pageBreakBefore w:val="off"/>
        <w:numPr>
          <w:ilvl w:val="0"/>
          <w:numId w:val="6"/>
        </w:numPr>
        <w:tabs/>
        <w:wordWrap w:val="on"/>
        <w:spacing w:after="0" w:before="160"/>
        <w:ind w:hanging="440" w:left="440" w:right="0"/>
        <w:jc w:val="left"/>
        <w:textAlignment w:val="auto"/>
        <w:rPr>
          <w:sz w:val="24"/>
        </w:rPr>
      </w:pPr>
      <w:bookmarkStart w:id="1045" w:name=""/>
      <w:r>
        <w:rPr>
          <w:rFonts w:ascii="宋体" w:cs="宋体" w:eastAsia="宋体" w:hAnsi="宋体"/>
          <w:sz w:val="24"/>
          <w:spacing w:val="0"/>
          <w:b w:val="on"/>
          <w:i w:val="off"/>
        </w:rPr>
        <w:t>强制交换化</w:t>
      </w:r>
      <w:r>
        <w:rPr>
          <w:rFonts w:ascii="宋体" w:cs="宋体" w:eastAsia="宋体" w:hAnsi="宋体"/>
          <w:sz w:val="24"/>
          <w:spacing w:val="0"/>
          <w:b w:val="off"/>
          <w:i w:val="off"/>
        </w:rPr>
        <w:t>：在更高阶的同伦群中，如π₂(X,x₀)，强制交换化，形成交换群</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n"/>
          <w:i w:val="off"/>
        </w:rPr>
        <w:t>同伦类型论</w:t>
      </w:r>
      <w:r>
        <w:rPr>
          <w:rFonts w:ascii="宋体" w:cs="宋体" w:eastAsia="宋体" w:hAnsi="宋体"/>
          <w:sz w:val="24"/>
          <w:spacing w:val="0"/>
          <w:b w:val="off"/>
          <w:i w:val="off"/>
        </w:rPr>
        <w:t>中的基本群则具有不同的表示方式：</w:t>
      </w:r>
      <w:bookmarkEnd w:id="1046"/>
    </w:p>
    <w:p>
      <w:pPr>
        <w:pageBreakBefore w:val="off"/>
        <w:numPr>
          <w:ilvl w:val="0"/>
          <w:numId w:val="7"/>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n"/>
          <w:i w:val="off"/>
        </w:rPr>
        <w:t>路径类型直接表示</w:t>
      </w:r>
      <w:r>
        <w:rPr>
          <w:rFonts w:ascii="宋体" w:cs="宋体" w:eastAsia="宋体" w:hAnsi="宋体"/>
          <w:sz w:val="24"/>
          <w:spacing w:val="0"/>
          <w:b w:val="off"/>
          <w:i w:val="off"/>
        </w:rPr>
        <w:t>：通过路径类型</w:t>
      </w:r>
      <w:r>
        <w:rPr>
          <w:rFonts w:ascii="宋体" w:cs="宋体" w:eastAsia="宋体" w:hAnsi="宋体"/>
          <w:sz w:val="24"/>
          <w:spacing w:val="0"/>
          <w:b w:val="off"/>
          <w:i w:val="off"/>
        </w:rPr>
        <w:t>和组合运算（如</w:t>
      </w:r>
      <w:r>
        <w:rPr>
          <w:rFonts w:ascii="宋体" w:cs="宋体" w:eastAsia="宋体" w:hAnsi="宋体"/>
          <w:sz w:val="24"/>
          <w:spacing w:val="0"/>
          <w:b w:val="off"/>
          <w:i w:val="off"/>
        </w:rPr>
        <w:t>_≡</w:t>
      </w:r>
      <w:r>
        <w:rPr>
          <w:rFonts w:ascii="宋体" w:cs="宋体" w:eastAsia="宋体" w:hAnsi="宋体"/>
          <w:sz w:val="24"/>
          <w:spacing w:val="0"/>
          <w:b w:val="off"/>
          <w:i w:val="off"/>
        </w:rPr>
        <w:t>的乘法）直接定义</w:t>
      </w:r>
      <w:bookmarkEnd w:id="1047"/>
    </w:p>
    <w:p>
      <w:pPr>
        <w:pageBreakBefore w:val="off"/>
        <w:numPr>
          <w:ilvl w:val="0"/>
          <w:numId w:val="7"/>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n"/>
          <w:i w:val="off"/>
        </w:rPr>
        <w:t>保留高阶结构</w:t>
      </w:r>
      <w:r>
        <w:rPr>
          <w:rFonts w:ascii="宋体" w:cs="宋体" w:eastAsia="宋体" w:hAnsi="宋体"/>
          <w:sz w:val="24"/>
          <w:spacing w:val="0"/>
          <w:b w:val="off"/>
          <w:i w:val="off"/>
        </w:rPr>
        <w:t>：通过高阶路径（如</w:t>
      </w:r>
      <w:r>
        <w:rPr>
          <w:rFonts w:ascii="宋体" w:cs="宋体" w:eastAsia="宋体" w:hAnsi="宋体"/>
          <w:sz w:val="24"/>
          <w:spacing w:val="0"/>
          <w:b w:val="off"/>
          <w:i w:val="off"/>
        </w:rPr>
        <w:t>）保留更高维度的同伦信息，无需低维投影</w:t>
      </w:r>
      <w:bookmarkEnd w:id="1048"/>
    </w:p>
    <w:p>
      <w:pPr>
        <w:pageBreakBefore w:val="off"/>
        <w:numPr>
          <w:ilvl w:val="0"/>
          <w:numId w:val="7"/>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n"/>
          <w:i w:val="off"/>
        </w:rPr>
        <w:t>非交换性保留</w:t>
      </w:r>
      <w:r>
        <w:rPr>
          <w:rFonts w:ascii="宋体" w:cs="宋体" w:eastAsia="宋体" w:hAnsi="宋体"/>
          <w:sz w:val="24"/>
          <w:spacing w:val="0"/>
          <w:b w:val="off"/>
          <w:i w:val="off"/>
        </w:rPr>
        <w:t>：在π₁中保留非交换结构，只有在π₂及以上才会出现交换性（通过Eckmann-Hilton论证）</w:t>
      </w:r>
      <w:bookmarkEnd w:id="1049"/>
    </w:p>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ff"/>
          <w:i w:val="off"/>
        </w:rPr>
        <w:t>在Cubical Agda中，这一差异表现为：经典方法需通过商构造定义基本群，而Cubical Agda可以直接通过路径类型</w:t>
      </w:r>
      <w:r>
        <w:rPr>
          <w:rFonts w:ascii="宋体" w:cs="宋体" w:eastAsia="宋体" w:hAnsi="宋体"/>
          <w:sz w:val="24"/>
          <w:spacing w:val="0"/>
          <w:b w:val="off"/>
          <w:i w:val="off"/>
        </w:rPr>
        <w:t>和环路类型</w:t>
      </w:r>
      <w:r>
        <w:rPr>
          <w:rFonts w:ascii="宋体" w:cs="宋体" w:eastAsia="宋体" w:hAnsi="宋体"/>
          <w:sz w:val="24"/>
          <w:spacing w:val="0"/>
          <w:b w:val="off"/>
          <w:i w:val="off"/>
        </w:rPr>
        <w:t>（如</w:t>
      </w:r>
      <w:r>
        <w:rPr>
          <w:rFonts w:ascii="宋体" w:cs="宋体" w:eastAsia="宋体" w:hAnsi="宋体"/>
          <w:sz w:val="24"/>
          <w:spacing w:val="0"/>
          <w:b w:val="off"/>
          <w:i w:val="off"/>
        </w:rPr>
        <w:t>）表示基本群，且不丢失高阶信息。</w:t>
      </w:r>
      <w:bookmarkEnd w:id="1050"/>
    </w:p>
    <w:p>
      <w:pPr>
        <w:pageBreakBefore w:val="off"/>
        <w:tabs/>
        <w:wordWrap w:val="on"/>
        <w:spacing w:after="0" w:before="160"/>
        <w:ind w:left="0" w:right="0"/>
        <w:jc w:val="left"/>
        <w:textAlignment w:val="auto"/>
        <w:rPr>
          <w:sz w:val="24"/>
        </w:rPr>
      </w:pPr>
      <w:bookmarkStart w:id="1051" w:name=""/>
      <w:r>
        <w:rPr>
          <w:rFonts w:ascii="宋体" w:cs="宋体" w:eastAsia="宋体" w:hAnsi="宋体"/>
          <w:sz w:val="24"/>
          <w:spacing w:val="0"/>
          <w:b w:val="on"/>
          <w:i w:val="off"/>
        </w:rPr>
        <w:t>3.2 同调群的表示差异</w:t>
      </w:r>
      <w:bookmarkEnd w:id="1051"/>
    </w:p>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n"/>
          <w:i w:val="off"/>
        </w:rPr>
        <w:t>经典代数拓扑</w:t>
      </w:r>
      <w:r>
        <w:rPr>
          <w:rFonts w:ascii="宋体" w:cs="宋体" w:eastAsia="宋体" w:hAnsi="宋体"/>
          <w:sz w:val="24"/>
          <w:spacing w:val="0"/>
          <w:b w:val="off"/>
          <w:i w:val="off"/>
        </w:rPr>
        <w:t>中的同调群Hₙ(X)基于交换链复形（如奇异同调）定义，具有以下特点：</w:t>
      </w:r>
      <w:bookmarkEnd w:id="1052"/>
    </w:p>
    <w:p>
      <w:pPr>
        <w:pageBreakBefore w:val="off"/>
        <w:numPr>
          <w:ilvl w:val="0"/>
          <w:numId w:val="8"/>
        </w:numPr>
        <w:tabs/>
        <w:wordWrap w:val="on"/>
        <w:spacing w:after="0" w:before="160"/>
        <w:ind w:hanging="440" w:left="440" w:right="0"/>
        <w:jc w:val="left"/>
        <w:textAlignment w:val="auto"/>
        <w:rPr>
          <w:sz w:val="24"/>
        </w:rPr>
      </w:pPr>
      <w:bookmarkStart w:id="1053" w:name=""/>
      <w:r>
        <w:rPr>
          <w:rFonts w:ascii="宋体" w:cs="宋体" w:eastAsia="宋体" w:hAnsi="宋体"/>
          <w:sz w:val="24"/>
          <w:spacing w:val="0"/>
          <w:b w:val="on"/>
          <w:i w:val="off"/>
        </w:rPr>
        <w:t>交换链结构</w:t>
      </w:r>
      <w:r>
        <w:rPr>
          <w:rFonts w:ascii="宋体" w:cs="宋体" w:eastAsia="宋体" w:hAnsi="宋体"/>
          <w:sz w:val="24"/>
          <w:spacing w:val="0"/>
          <w:b w:val="off"/>
          <w:i w:val="off"/>
        </w:rPr>
        <w:t>：链群Zₙ(X)是交换群，导致同调群Hₙ(X)为交换群</w:t>
      </w:r>
      <w:bookmarkEnd w:id="1053"/>
    </w:p>
    <w:p>
      <w:pPr>
        <w:pageBreakBefore w:val="off"/>
        <w:numPr>
          <w:ilvl w:val="0"/>
          <w:numId w:val="8"/>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n"/>
          <w:i w:val="off"/>
        </w:rPr>
        <w:t>代数化处理</w:t>
      </w:r>
      <w:r>
        <w:rPr>
          <w:rFonts w:ascii="宋体" w:cs="宋体" w:eastAsia="宋体" w:hAnsi="宋体"/>
          <w:sz w:val="24"/>
          <w:spacing w:val="0"/>
          <w:b w:val="off"/>
          <w:i w:val="off"/>
        </w:rPr>
        <w:t>：通过代数方法处理几何问题，丢失了原始的几何结构</w:t>
      </w:r>
      <w:bookmarkEnd w:id="1054"/>
    </w:p>
    <w:p>
      <w:pPr>
        <w:pageBreakBefore w:val="off"/>
        <w:numPr>
          <w:ilvl w:val="0"/>
          <w:numId w:val="8"/>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n"/>
          <w:i w:val="off"/>
        </w:rPr>
        <w:t>低维投影问题</w:t>
      </w:r>
      <w:r>
        <w:rPr>
          <w:rFonts w:ascii="宋体" w:cs="宋体" w:eastAsia="宋体" w:hAnsi="宋体"/>
          <w:sz w:val="24"/>
          <w:spacing w:val="0"/>
          <w:b w:val="off"/>
          <w:i w:val="off"/>
        </w:rPr>
        <w:t>：如Marstrand投影定理所示，低维投影可能导致拓扑信息丢失</w:t>
      </w:r>
      <w:bookmarkEnd w:id="1055"/>
    </w:p>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n"/>
          <w:i w:val="off"/>
        </w:rPr>
        <w:t>同伦类型论</w:t>
      </w:r>
      <w:r>
        <w:rPr>
          <w:rFonts w:ascii="宋体" w:cs="宋体" w:eastAsia="宋体" w:hAnsi="宋体"/>
          <w:sz w:val="24"/>
          <w:spacing w:val="0"/>
          <w:b w:val="off"/>
          <w:i w:val="off"/>
        </w:rPr>
        <w:t>中的同调群则试图保留更原始的几何结构：</w:t>
      </w:r>
      <w:bookmarkEnd w:id="1056"/>
    </w:p>
    <w:p>
      <w:pPr>
        <w:pageBreakBefore w:val="off"/>
        <w:numPr>
          <w:ilvl w:val="0"/>
          <w:numId w:val="9"/>
        </w:numPr>
        <w:tabs/>
        <w:wordWrap w:val="on"/>
        <w:spacing w:after="0" w:before="160"/>
        <w:ind w:hanging="440" w:left="440" w:right="0"/>
        <w:jc w:val="left"/>
        <w:textAlignment w:val="auto"/>
        <w:rPr>
          <w:sz w:val="24"/>
        </w:rPr>
      </w:pPr>
      <w:bookmarkStart w:id="1057" w:name=""/>
      <w:r>
        <w:rPr>
          <w:rFonts w:ascii="宋体" w:cs="宋体" w:eastAsia="宋体" w:hAnsi="宋体"/>
          <w:sz w:val="24"/>
          <w:spacing w:val="0"/>
          <w:b w:val="on"/>
          <w:i w:val="off"/>
        </w:rPr>
        <w:t>高阶路径空间</w:t>
      </w:r>
      <w:r>
        <w:rPr>
          <w:rFonts w:ascii="宋体" w:cs="宋体" w:eastAsia="宋体" w:hAnsi="宋体"/>
          <w:sz w:val="24"/>
          <w:spacing w:val="0"/>
          <w:b w:val="off"/>
          <w:i w:val="off"/>
        </w:rPr>
        <w:t>：通过高阶路径（如2-维路径）或高阶归纳类型(HITs)定义同调</w:t>
      </w:r>
      <w:bookmarkEnd w:id="1057"/>
    </w:p>
    <w:p>
      <w:pPr>
        <w:pageBreakBefore w:val="off"/>
        <w:numPr>
          <w:ilvl w:val="0"/>
          <w:numId w:val="9"/>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n"/>
          <w:i w:val="off"/>
        </w:rPr>
        <w:t>非交换同调</w:t>
      </w:r>
      <w:r>
        <w:rPr>
          <w:rFonts w:ascii="宋体" w:cs="宋体" w:eastAsia="宋体" w:hAnsi="宋体"/>
          <w:sz w:val="24"/>
          <w:spacing w:val="0"/>
          <w:b w:val="off"/>
          <w:i w:val="off"/>
        </w:rPr>
        <w:t>：在HoTT中，同调群可能保留非交换结构，避免经典理论中的强制交换化</w:t>
      </w:r>
      <w:bookmarkEnd w:id="1058"/>
    </w:p>
    <w:p>
      <w:pPr>
        <w:pageBreakBefore w:val="off"/>
        <w:numPr>
          <w:ilvl w:val="0"/>
          <w:numId w:val="9"/>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n"/>
          <w:i w:val="off"/>
        </w:rPr>
        <w:t>合成表示</w:t>
      </w:r>
      <w:r>
        <w:rPr>
          <w:rFonts w:ascii="宋体" w:cs="宋体" w:eastAsia="宋体" w:hAnsi="宋体"/>
          <w:sz w:val="24"/>
          <w:spacing w:val="0"/>
          <w:b w:val="off"/>
          <w:i w:val="off"/>
        </w:rPr>
        <w:t>：通过类型论的合成方法直接表达同调概念，而非通过代数构造</w:t>
      </w:r>
      <w:bookmarkEnd w:id="1059"/>
    </w:p>
    <w:p>
      <w:pPr>
        <w:pageBreakBefore w:val="off"/>
        <w:tabs/>
        <w:wordWrap w:val="on"/>
        <w:spacing w:after="0" w:before="160"/>
        <w:ind w:left="0" w:right="0"/>
        <w:jc w:val="left"/>
        <w:textAlignment w:val="auto"/>
        <w:rPr>
          <w:sz w:val="24"/>
        </w:rPr>
      </w:pPr>
      <w:bookmarkStart w:id="1060" w:name=""/>
      <w:r>
        <w:rPr>
          <w:rFonts w:ascii="宋体" w:cs="宋体" w:eastAsia="宋体" w:hAnsi="宋体"/>
          <w:sz w:val="24"/>
          <w:spacing w:val="0"/>
          <w:b w:val="off"/>
          <w:i w:val="off"/>
        </w:rPr>
        <w:t>在Cubical Agda中，这种差异表现为：经典同调需通过交换链复形定义，而Cubical Agda可通过高阶路径类型的组合直接表达同调关系，保留更丰富的几何信息。</w:t>
      </w:r>
      <w:bookmarkEnd w:id="1060"/>
    </w:p>
    <w:p>
      <w:pPr>
        <w:pageBreakBefore w:val="off"/>
        <w:tabs/>
        <w:wordWrap w:val="on"/>
        <w:spacing w:after="0" w:before="160"/>
        <w:ind w:left="0" w:right="0"/>
        <w:jc w:val="left"/>
        <w:textAlignment w:val="auto"/>
        <w:rPr>
          <w:sz w:val="28"/>
        </w:rPr>
      </w:pPr>
      <w:bookmarkStart w:id="1061" w:name=""/>
      <w:r>
        <w:rPr>
          <w:rFonts w:ascii="宋体" w:cs="宋体" w:eastAsia="宋体" w:hAnsi="宋体"/>
          <w:sz w:val="28"/>
          <w:spacing w:val="0"/>
          <w:b w:val="on"/>
          <w:i w:val="off"/>
        </w:rPr>
        <w:t>四、高维动态本体几何在Cubical Agda中的表示</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ff"/>
          <w:i w:val="off"/>
        </w:rPr>
        <w:t>用户强调的"高维动态本体几何"、"螺旋测地线极限环"、"相位对齐非闭合"等概念，与Cubical Agda的特性高度契合。以下是这些概念在Cubical Agda中的可能表示方法：</w:t>
      </w:r>
      <w:bookmarkEnd w:id="1062"/>
    </w:p>
    <w:p>
      <w:pPr>
        <w:pageBreakBefore w:val="off"/>
        <w:tabs/>
        <w:wordWrap w:val="on"/>
        <w:spacing w:after="0" w:before="160"/>
        <w:ind w:left="0" w:right="0"/>
        <w:jc w:val="left"/>
        <w:textAlignment w:val="auto"/>
        <w:rPr>
          <w:sz w:val="24"/>
        </w:rPr>
      </w:pPr>
      <w:bookmarkStart w:id="1063" w:name=""/>
      <w:r>
        <w:rPr>
          <w:rFonts w:ascii="宋体" w:cs="宋体" w:eastAsia="宋体" w:hAnsi="宋体"/>
          <w:sz w:val="24"/>
          <w:spacing w:val="0"/>
          <w:b w:val="on"/>
          <w:i w:val="off"/>
        </w:rPr>
        <w:t>4.1 高维流形的表示</w:t>
      </w:r>
      <w:bookmarkEnd w:id="1063"/>
    </w:p>
    <w:p>
      <w:pPr>
        <w:pageBreakBefore w:val="off"/>
        <w:tabs/>
        <w:wordWrap w:val="on"/>
        <w:spacing w:after="0" w:before="160"/>
        <w:ind w:left="0" w:right="0"/>
        <w:jc w:val="left"/>
        <w:textAlignment w:val="auto"/>
        <w:rPr>
          <w:sz w:val="24"/>
        </w:rPr>
      </w:pPr>
      <w:bookmarkStart w:id="1064" w:name=""/>
      <w:r>
        <w:rPr>
          <w:rFonts w:ascii="宋体" w:cs="宋体" w:eastAsia="宋体" w:hAnsi="宋体"/>
          <w:sz w:val="24"/>
          <w:spacing w:val="0"/>
          <w:b w:val="off"/>
          <w:i w:val="off"/>
        </w:rPr>
        <w:t>在Cubical Agda中，</w:t>
      </w:r>
      <w:r>
        <w:rPr>
          <w:rFonts w:ascii="宋体" w:cs="宋体" w:eastAsia="宋体" w:hAnsi="宋体"/>
          <w:sz w:val="24"/>
          <w:spacing w:val="0"/>
          <w:b w:val="on"/>
          <w:i w:val="off"/>
        </w:rPr>
        <w:t>高维流形</w:t>
      </w:r>
      <w:r>
        <w:rPr>
          <w:rFonts w:ascii="宋体" w:cs="宋体" w:eastAsia="宋体" w:hAnsi="宋体"/>
          <w:sz w:val="24"/>
          <w:spacing w:val="0"/>
          <w:b w:val="off"/>
          <w:i w:val="off"/>
        </w:rPr>
        <w:t>可以通过高阶归纳类型(HITs)定义。例如，球面</w:t>
      </w:r>
      <w:r>
        <w:rPr>
          <w:rFonts w:ascii="宋体" w:cs="宋体" w:eastAsia="宋体" w:hAnsi="宋体"/>
          <w:sz w:val="24"/>
          <w:spacing w:val="0"/>
          <w:b w:val="off"/>
          <w:i w:val="off"/>
        </w:rPr>
        <w:t>可以递归定义为：</w:t>
      </w:r>
      <w:bookmarkEnd w:id="1064"/>
    </w:p>
    <w:p>
      <w:pPr>
        <w:pageBreakBefore w:val="off"/>
        <w:tabs/>
        <w:wordWrap w:val="on"/>
        <w:spacing w:after="0" w:before="160"/>
        <w:ind w:left="0" w:right="0"/>
        <w:jc w:val="left"/>
        <w:textAlignment w:val="auto"/>
        <w:rPr>
          <w:sz w:val="24"/>
        </w:rPr>
      </w:pPr>
      <w:bookmarkStart w:id="1065" w:name=""/>
      <w:r>
        <w:rPr>
          <w:rFonts w:ascii="宋体" w:cs="宋体" w:eastAsia="宋体" w:hAnsi="宋体"/>
          <w:sz w:val="24"/>
          <w:spacing w:val="0"/>
          <w:b w:val="off"/>
          <w:i w:val="off"/>
        </w:rPr>
        <w:t>这种定义直接对应了流形的细胞结构，每个构造函数对应一个细胞，而路径构造函数则对应细胞间的粘合。通过这种方式，可以保留流形的高维结构，无需投影到低维空间。</w:t>
      </w:r>
      <w:bookmarkEnd w:id="1065"/>
    </w:p>
    <w:p>
      <w:pPr>
        <w:pageBreakBefore w:val="off"/>
        <w:tabs/>
        <w:wordWrap w:val="on"/>
        <w:spacing w:after="0" w:before="160"/>
        <w:ind w:left="0" w:right="0"/>
        <w:jc w:val="left"/>
        <w:textAlignment w:val="auto"/>
        <w:rPr>
          <w:sz w:val="24"/>
        </w:rPr>
      </w:pPr>
      <w:bookmarkStart w:id="1066" w:name=""/>
      <w:r>
        <w:rPr>
          <w:rFonts w:ascii="宋体" w:cs="宋体" w:eastAsia="宋体" w:hAnsi="宋体"/>
          <w:sz w:val="24"/>
          <w:spacing w:val="0"/>
          <w:b w:val="on"/>
          <w:i w:val="off"/>
        </w:rPr>
        <w:t>4.2 螺旋测地线的表示</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n"/>
          <w:i w:val="off"/>
        </w:rPr>
        <w:t>螺旋测地线</w:t>
      </w:r>
      <w:r>
        <w:rPr>
          <w:rFonts w:ascii="宋体" w:cs="宋体" w:eastAsia="宋体" w:hAnsi="宋体"/>
          <w:sz w:val="24"/>
          <w:spacing w:val="0"/>
          <w:b w:val="off"/>
          <w:i w:val="off"/>
        </w:rPr>
        <w:t>作为一种高维流形上的路径，可以通过多维路径类型</w:t>
      </w:r>
      <w:r>
        <w:rPr>
          <w:rFonts w:ascii="宋体" w:cs="宋体" w:eastAsia="宋体" w:hAnsi="宋体"/>
          <w:sz w:val="24"/>
          <w:spacing w:val="0"/>
          <w:b w:val="off"/>
          <w:i w:val="off"/>
        </w:rPr>
        <w:t>表示。在Cubical Agda中，可以定义参数化的螺旋路径：</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ff"/>
          <w:i w:val="off"/>
        </w:rPr>
        <w:t>这里，</w:t>
      </w:r>
      <w:r>
        <w:rPr>
          <w:rFonts w:ascii="宋体" w:cs="宋体" w:eastAsia="宋体" w:hAnsi="宋体"/>
          <w:sz w:val="24"/>
          <w:spacing w:val="0"/>
          <w:b w:val="off"/>
          <w:i w:val="off"/>
        </w:rPr>
        <w:t>是一个3维欧几里得空间的表示，</w:t>
      </w:r>
      <w:r>
        <w:rPr>
          <w:rFonts w:ascii="宋体" w:cs="宋体" w:eastAsia="宋体" w:hAnsi="宋体"/>
          <w:sz w:val="24"/>
          <w:spacing w:val="0"/>
          <w:b w:val="off"/>
          <w:i w:val="off"/>
        </w:rPr>
        <w:t>是区间变量，</w:t>
      </w:r>
      <w:r>
        <w:rPr>
          <w:rFonts w:ascii="宋体" w:cs="宋体" w:eastAsia="宋体" w:hAnsi="宋体"/>
          <w:sz w:val="24"/>
          <w:spacing w:val="0"/>
          <w:b w:val="off"/>
          <w:i w:val="off"/>
        </w:rPr>
        <w:t>定义了螺旋的高度变化。这种表示方式完全避免了低维投影，直接在3维空间中定义了螺旋路径。</w:t>
      </w:r>
      <w:bookmarkEnd w:id="1068"/>
    </w:p>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n"/>
          <w:i w:val="off"/>
        </w:rPr>
        <w:t>4.3 极限环与相位对齐的表示</w:t>
      </w:r>
      <w:bookmarkEnd w:id="1069"/>
    </w:p>
    <w:p>
      <w:pPr>
        <w:pageBreakBefore w:val="off"/>
        <w:tabs/>
        <w:wordWrap w:val="on"/>
        <w:spacing w:after="0" w:before="160"/>
        <w:ind w:left="0" w:right="0"/>
        <w:jc w:val="left"/>
        <w:textAlignment w:val="auto"/>
        <w:rPr>
          <w:sz w:val="24"/>
        </w:rPr>
      </w:pPr>
      <w:bookmarkStart w:id="1070" w:name=""/>
      <w:r>
        <w:rPr>
          <w:rFonts w:ascii="宋体" w:cs="宋体" w:eastAsia="宋体" w:hAnsi="宋体"/>
          <w:sz w:val="24"/>
          <w:spacing w:val="0"/>
          <w:b w:val="on"/>
          <w:i w:val="off"/>
        </w:rPr>
        <w:t>极限环</w:t>
      </w:r>
      <w:r>
        <w:rPr>
          <w:rFonts w:ascii="宋体" w:cs="宋体" w:eastAsia="宋体" w:hAnsi="宋体"/>
          <w:sz w:val="24"/>
          <w:spacing w:val="0"/>
          <w:b w:val="off"/>
          <w:i w:val="off"/>
        </w:rPr>
        <w:t>作为一种周期性但非闭合的动态路径，可以通过Cubical Agda的</w:t>
      </w:r>
      <w:r>
        <w:rPr>
          <w:rFonts w:ascii="宋体" w:cs="宋体" w:eastAsia="宋体" w:hAnsi="宋体"/>
          <w:sz w:val="24"/>
          <w:spacing w:val="0"/>
          <w:b w:val="on"/>
          <w:i w:val="off"/>
        </w:rPr>
        <w:t>开区间约束</w:t>
      </w:r>
      <w:r>
        <w:rPr>
          <w:rFonts w:ascii="宋体" w:cs="宋体" w:eastAsia="宋体" w:hAnsi="宋体"/>
          <w:sz w:val="24"/>
          <w:spacing w:val="0"/>
          <w:b w:val="off"/>
          <w:i w:val="off"/>
        </w:rPr>
        <w:t>实现。例如，使用</w:t>
      </w:r>
      <w:r>
        <w:rPr>
          <w:rFonts w:ascii="宋体" w:cs="宋体" w:eastAsia="宋体" w:hAnsi="宋体"/>
          <w:sz w:val="24"/>
          <w:spacing w:val="0"/>
          <w:b w:val="off"/>
          <w:i w:val="off"/>
        </w:rPr>
        <w:t>约束定义非闭合相位：</w:t>
      </w:r>
      <w:bookmarkEnd w:id="1070"/>
    </w:p>
    <w:p>
      <w:pPr>
        <w:pageBreakBefore w:val="off"/>
        <w:tabs/>
        <w:wordWrap w:val="on"/>
        <w:spacing w:after="0" w:before="160"/>
        <w:ind w:left="0" w:right="0"/>
        <w:jc w:val="left"/>
        <w:textAlignment w:val="auto"/>
        <w:rPr>
          <w:sz w:val="24"/>
        </w:rPr>
      </w:pPr>
      <w:bookmarkStart w:id="1071" w:name=""/>
      <w:r>
        <w:rPr>
          <w:rFonts w:ascii="宋体" w:cs="宋体" w:eastAsia="宋体" w:hAnsi="宋体"/>
          <w:sz w:val="24"/>
          <w:spacing w:val="0"/>
          <w:b w:val="off"/>
          <w:i w:val="off"/>
        </w:rPr>
        <w:t>这里，</w:t>
      </w:r>
      <w:r>
        <w:rPr>
          <w:rFonts w:ascii="宋体" w:cs="宋体" w:eastAsia="宋体" w:hAnsi="宋体"/>
          <w:sz w:val="24"/>
          <w:spacing w:val="0"/>
          <w:b w:val="off"/>
          <w:i w:val="off"/>
        </w:rPr>
        <w:t>类型通过</w:t>
      </w:r>
      <w:r>
        <w:rPr>
          <w:rFonts w:ascii="宋体" w:cs="宋体" w:eastAsia="宋体" w:hAnsi="宋体"/>
          <w:sz w:val="24"/>
          <w:spacing w:val="0"/>
          <w:b w:val="off"/>
          <w:i w:val="off"/>
        </w:rPr>
        <w:t>约束确保路径仅在</w:t>
      </w:r>
      <w:r>
        <w:rPr>
          <w:rFonts w:ascii="宋体" w:cs="宋体" w:eastAsia="宋体" w:hAnsi="宋体"/>
          <w:sz w:val="24"/>
          <w:spacing w:val="0"/>
          <w:b w:val="off"/>
          <w:i w:val="off"/>
        </w:rPr>
        <w:t>时闭合，从而支持非闭合相位的动态路径表示。这种表示方式避免了经典同伦论中强制闭合路径的局限，能够更真实地模拟极限环等非闭合动态结构。</w:t>
      </w:r>
      <w:bookmarkEnd w:id="1071"/>
    </w:p>
    <w:p>
      <w:pPr>
        <w:pageBreakBefore w:val="off"/>
        <w:tabs/>
        <w:wordWrap w:val="on"/>
        <w:spacing w:after="0" w:before="160"/>
        <w:ind w:left="0" w:right="0"/>
        <w:jc w:val="left"/>
        <w:textAlignment w:val="auto"/>
        <w:rPr>
          <w:sz w:val="28"/>
        </w:rPr>
      </w:pPr>
      <w:bookmarkStart w:id="1072" w:name=""/>
      <w:r>
        <w:rPr>
          <w:rFonts w:ascii="宋体" w:cs="宋体" w:eastAsia="宋体" w:hAnsi="宋体"/>
          <w:sz w:val="28"/>
          <w:spacing w:val="0"/>
          <w:b w:val="on"/>
          <w:i w:val="off"/>
        </w:rPr>
        <w:t>五、Cubical Agda支持高维动态本体几何的实现策略</w:t>
      </w:r>
      <w:bookmarkEnd w:id="1072"/>
    </w:p>
    <w:p>
      <w:pPr>
        <w:pageBreakBefore w:val="off"/>
        <w:tabs/>
        <w:wordWrap w:val="on"/>
        <w:spacing w:after="0" w:before="160"/>
        <w:ind w:left="0" w:right="0"/>
        <w:jc w:val="left"/>
        <w:textAlignment w:val="auto"/>
        <w:rPr>
          <w:sz w:val="24"/>
        </w:rPr>
      </w:pPr>
      <w:bookmarkStart w:id="1073" w:name=""/>
      <w:r>
        <w:rPr>
          <w:rFonts w:ascii="宋体" w:cs="宋体" w:eastAsia="宋体" w:hAnsi="宋体"/>
          <w:sz w:val="24"/>
          <w:spacing w:val="0"/>
          <w:b w:val="off"/>
          <w:i w:val="off"/>
        </w:rPr>
        <w:t>要在Cubical Agda中实现高维动态本体几何，特别是螺旋测地线和极限环等复杂结构，可以采用以下策略：</w:t>
      </w:r>
      <w:bookmarkEnd w:id="1073"/>
    </w:p>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n"/>
          <w:i w:val="off"/>
        </w:rPr>
        <w:t>5.1 多维路径参数化</w:t>
      </w:r>
      <w:bookmarkEnd w:id="1074"/>
    </w:p>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n"/>
          <w:i w:val="off"/>
        </w:rPr>
        <w:t>使用多维区间变量</w:t>
      </w:r>
      <w:r>
        <w:rPr>
          <w:rFonts w:ascii="宋体" w:cs="宋体" w:eastAsia="宋体" w:hAnsi="宋体"/>
          <w:sz w:val="24"/>
          <w:spacing w:val="0"/>
          <w:b w:val="off"/>
          <w:i w:val="off"/>
        </w:rPr>
        <w:t>：Cubical Agda的</w:t>
      </w:r>
      <w:r>
        <w:rPr>
          <w:rFonts w:ascii="宋体" w:cs="宋体" w:eastAsia="宋体" w:hAnsi="宋体"/>
          <w:sz w:val="24"/>
          <w:spacing w:val="0"/>
          <w:b w:val="off"/>
          <w:i w:val="off"/>
        </w:rPr>
        <w:t>类型支持多维组合（如</w:t>
      </w:r>
      <w:r>
        <w:rPr>
          <w:rFonts w:ascii="宋体" w:cs="宋体" w:eastAsia="宋体" w:hAnsi="宋体"/>
          <w:sz w:val="24"/>
          <w:spacing w:val="0"/>
          <w:b w:val="off"/>
          <w:i w:val="off"/>
        </w:rPr>
        <w:t>），可以参数化定义螺旋测地线：</w:t>
      </w:r>
      <w:bookmarkEnd w:id="1075"/>
    </w:p>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ff"/>
          <w:i w:val="off"/>
        </w:rPr>
        <w:t>这里，</w:t>
      </w:r>
      <w:r>
        <w:rPr>
          <w:rFonts w:ascii="宋体" w:cs="宋体" w:eastAsia="宋体" w:hAnsi="宋体"/>
          <w:sz w:val="24"/>
          <w:spacing w:val="0"/>
          <w:b w:val="off"/>
          <w:i w:val="off"/>
        </w:rPr>
        <w:t>表示2维球面，</w:t>
      </w:r>
      <w:r>
        <w:rPr>
          <w:rFonts w:ascii="宋体" w:cs="宋体" w:eastAsia="宋体" w:hAnsi="宋体"/>
          <w:sz w:val="24"/>
          <w:spacing w:val="0"/>
          <w:b w:val="off"/>
          <w:i w:val="off"/>
        </w:rPr>
        <w:t>和</w:t>
      </w:r>
      <w:r>
        <w:rPr>
          <w:rFonts w:ascii="宋体" w:cs="宋体" w:eastAsia="宋体" w:hAnsi="宋体"/>
          <w:sz w:val="24"/>
          <w:spacing w:val="0"/>
          <w:b w:val="off"/>
          <w:i w:val="off"/>
        </w:rPr>
        <w:t>分别控制纬度和经度的变化，通过</w:t>
      </w:r>
      <w:r>
        <w:rPr>
          <w:rFonts w:ascii="宋体" w:cs="宋体" w:eastAsia="宋体" w:hAnsi="宋体"/>
          <w:sz w:val="24"/>
          <w:spacing w:val="0"/>
          <w:b w:val="off"/>
          <w:i w:val="off"/>
        </w:rPr>
        <w:t>和</w:t>
      </w:r>
      <w:r>
        <w:rPr>
          <w:rFonts w:ascii="宋体" w:cs="宋体" w:eastAsia="宋体" w:hAnsi="宋体"/>
          <w:sz w:val="24"/>
          <w:spacing w:val="0"/>
          <w:b w:val="off"/>
          <w:i w:val="off"/>
        </w:rPr>
        <w:t>操作符组合维度变量，可以精确控制螺旋测地线的形状和运动。</w:t>
      </w:r>
      <w:bookmarkEnd w:id="1076"/>
    </w:p>
    <w:p>
      <w:pPr>
        <w:pageBreakBefore w:val="off"/>
        <w:tabs/>
        <w:wordWrap w:val="on"/>
        <w:spacing w:after="0" w:before="160"/>
        <w:ind w:left="0" w:right="0"/>
        <w:jc w:val="left"/>
        <w:textAlignment w:val="auto"/>
        <w:rPr>
          <w:sz w:val="24"/>
        </w:rPr>
      </w:pPr>
      <w:bookmarkStart w:id="1077" w:name=""/>
      <w:r>
        <w:rPr>
          <w:rFonts w:ascii="宋体" w:cs="宋体" w:eastAsia="宋体" w:hAnsi="宋体"/>
          <w:sz w:val="24"/>
          <w:spacing w:val="0"/>
          <w:b w:val="on"/>
          <w:i w:val="off"/>
        </w:rPr>
        <w:t>5.2 开放路径与非闭合相位</w:t>
      </w:r>
      <w:bookmarkEnd w:id="1077"/>
    </w:p>
    <w:p>
      <w:pPr>
        <w:pageBreakBefore w:val="off"/>
        <w:tabs/>
        <w:wordWrap w:val="on"/>
        <w:spacing w:after="0" w:before="160"/>
        <w:ind w:left="0" w:right="0"/>
        <w:jc w:val="left"/>
        <w:textAlignment w:val="auto"/>
        <w:rPr>
          <w:sz w:val="24"/>
        </w:rPr>
      </w:pPr>
      <w:bookmarkStart w:id="1078" w:name=""/>
      <w:r>
        <w:rPr>
          <w:rFonts w:ascii="宋体" w:cs="宋体" w:eastAsia="宋体" w:hAnsi="宋体"/>
          <w:sz w:val="24"/>
          <w:spacing w:val="0"/>
          <w:b w:val="on"/>
          <w:i w:val="off"/>
        </w:rPr>
        <w:t>避免强制闭合</w:t>
      </w:r>
      <w:r>
        <w:rPr>
          <w:rFonts w:ascii="宋体" w:cs="宋体" w:eastAsia="宋体" w:hAnsi="宋体"/>
          <w:sz w:val="24"/>
          <w:spacing w:val="0"/>
          <w:b w:val="off"/>
          <w:i w:val="off"/>
        </w:rPr>
        <w:t>：通过</w:t>
      </w:r>
      <w:r>
        <w:rPr>
          <w:rFonts w:ascii="宋体" w:cs="宋体" w:eastAsia="宋体" w:hAnsi="宋体"/>
          <w:sz w:val="24"/>
          <w:spacing w:val="0"/>
          <w:b w:val="off"/>
          <w:i w:val="off"/>
        </w:rPr>
        <w:t>约束的开区间条件，可以定义非闭合相位：</w:t>
      </w:r>
      <w:bookmarkEnd w:id="1078"/>
    </w:p>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ff"/>
          <w:i w:val="off"/>
        </w:rPr>
        <w:t>这种表示方式确保路径仅在</w:t>
      </w:r>
      <w:r>
        <w:rPr>
          <w:rFonts w:ascii="宋体" w:cs="宋体" w:eastAsia="宋体" w:hAnsi="宋体"/>
          <w:sz w:val="24"/>
          <w:spacing w:val="0"/>
          <w:b w:val="off"/>
          <w:i w:val="off"/>
        </w:rPr>
        <w:t>时闭合，对于</w:t>
      </w:r>
      <w:r>
        <w:rPr>
          <w:rFonts w:ascii="宋体" w:cs="宋体" w:eastAsia="宋体" w:hAnsi="宋体"/>
          <w:sz w:val="24"/>
          <w:spacing w:val="0"/>
          <w:b w:val="off"/>
          <w:i w:val="off"/>
        </w:rPr>
        <w:t>时路径保持开放状态，完美支持用户强调的"非闭合相位"概念。</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n"/>
          <w:i w:val="off"/>
        </w:rPr>
        <w:t>5.3 动态组合与极限构造</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n"/>
          <w:i w:val="off"/>
        </w:rPr>
        <w:t>使用组合操作符</w:t>
      </w:r>
      <w:r>
        <w:rPr>
          <w:rFonts w:ascii="宋体" w:cs="宋体" w:eastAsia="宋体" w:hAnsi="宋体"/>
          <w:sz w:val="24"/>
          <w:spacing w:val="0"/>
          <w:b w:val="off"/>
          <w:i w:val="off"/>
        </w:rPr>
        <w:t>：Cubical Agda的</w:t>
      </w:r>
      <w:r>
        <w:rPr>
          <w:rFonts w:ascii="宋体" w:cs="宋体" w:eastAsia="宋体" w:hAnsi="宋体"/>
          <w:sz w:val="24"/>
          <w:spacing w:val="0"/>
          <w:b w:val="off"/>
          <w:i w:val="off"/>
        </w:rPr>
        <w:t>和</w:t>
      </w:r>
      <w:r>
        <w:rPr>
          <w:rFonts w:ascii="宋体" w:cs="宋体" w:eastAsia="宋体" w:hAnsi="宋体"/>
          <w:sz w:val="24"/>
          <w:spacing w:val="0"/>
          <w:b w:val="off"/>
          <w:i w:val="off"/>
        </w:rPr>
        <w:t>操作符可用于构造满足特定微分约束的路径：</w:t>
      </w:r>
      <w:bookmarkEnd w:id="1081"/>
    </w:p>
    <w:p>
      <w:pPr>
        <w:pageBreakBefore w:val="off"/>
        <w:tabs/>
        <w:wordWrap w:val="on"/>
        <w:spacing w:after="0" w:before="160"/>
        <w:ind w:left="0" w:right="0"/>
        <w:jc w:val="left"/>
        <w:textAlignment w:val="auto"/>
        <w:rPr>
          <w:sz w:val="24"/>
        </w:rPr>
      </w:pPr>
      <w:bookmarkStart w:id="1082" w:name=""/>
      <w:r>
        <w:rPr>
          <w:rFonts w:ascii="宋体" w:cs="宋体" w:eastAsia="宋体" w:hAnsi="宋体"/>
          <w:sz w:val="24"/>
          <w:spacing w:val="0"/>
          <w:b w:val="off"/>
          <w:i w:val="off"/>
        </w:rPr>
        <w:t>这里，</w:t>
      </w:r>
      <w:r>
        <w:rPr>
          <w:rFonts w:ascii="宋体" w:cs="宋体" w:eastAsia="宋体" w:hAnsi="宋体"/>
          <w:sz w:val="24"/>
          <w:spacing w:val="0"/>
          <w:b w:val="off"/>
          <w:i w:val="off"/>
        </w:rPr>
        <w:t>定义了测地线的微分约束，</w:t>
      </w:r>
      <w:r>
        <w:rPr>
          <w:rFonts w:ascii="宋体" w:cs="宋体" w:eastAsia="宋体" w:hAnsi="宋体"/>
          <w:sz w:val="24"/>
          <w:spacing w:val="0"/>
          <w:b w:val="off"/>
          <w:i w:val="off"/>
        </w:rPr>
        <w:t>操作符则确保构造的路径满足这一条件。通过这种方式，可以形式化地定义满足特定微分方程的动态路径。</w:t>
      </w:r>
      <w:bookmarkEnd w:id="1082"/>
    </w:p>
    <w:p>
      <w:pPr>
        <w:pageBreakBefore w:val="off"/>
        <w:tabs/>
        <w:wordWrap w:val="on"/>
        <w:spacing w:after="0" w:before="160"/>
        <w:ind w:left="0" w:right="0"/>
        <w:jc w:val="left"/>
        <w:textAlignment w:val="auto"/>
        <w:rPr>
          <w:sz w:val="28"/>
        </w:rPr>
      </w:pPr>
      <w:bookmarkStart w:id="1083" w:name=""/>
      <w:r>
        <w:rPr>
          <w:rFonts w:ascii="宋体" w:cs="宋体" w:eastAsia="宋体" w:hAnsi="宋体"/>
          <w:sz w:val="28"/>
          <w:spacing w:val="0"/>
          <w:b w:val="on"/>
          <w:i w:val="off"/>
        </w:rPr>
        <w:t>六、结论与展望</w:t>
      </w:r>
      <w:bookmarkEnd w:id="1083"/>
    </w:p>
    <w:p>
      <w:pPr>
        <w:pageBreakBefore w:val="off"/>
        <w:tabs/>
        <w:wordWrap w:val="on"/>
        <w:spacing w:after="0" w:before="160"/>
        <w:ind w:left="0" w:right="0"/>
        <w:jc w:val="left"/>
        <w:textAlignment w:val="auto"/>
        <w:rPr>
          <w:sz w:val="24"/>
        </w:rPr>
      </w:pPr>
      <w:bookmarkStart w:id="1084" w:name=""/>
      <w:r>
        <w:rPr>
          <w:rFonts w:ascii="宋体" w:cs="宋体" w:eastAsia="宋体" w:hAnsi="宋体"/>
          <w:sz w:val="24"/>
          <w:spacing w:val="0"/>
          <w:b w:val="off"/>
          <w:i w:val="off"/>
        </w:rPr>
        <w:t>Cubical Agda作为一种基于立方类型论的证明辅助工具，为高维动态本体几何的形式化提供了强大支持。它通过路径类型和高阶归纳类型直接表示几何结构，避免了经典代数拓扑中基本群的低维投影和同调群的强制交换化问题。</w:t>
      </w:r>
      <w:bookmarkEnd w:id="1084"/>
    </w:p>
    <w:p>
      <w:pPr>
        <w:pageBreakBefore w:val="off"/>
        <w:tabs/>
        <w:wordWrap w:val="on"/>
        <w:spacing w:after="0" w:before="160"/>
        <w:ind w:left="0" w:right="0"/>
        <w:jc w:val="left"/>
        <w:textAlignment w:val="auto"/>
        <w:rPr>
          <w:sz w:val="24"/>
        </w:rPr>
      </w:pPr>
      <w:bookmarkStart w:id="1085" w:name=""/>
      <w:r>
        <w:rPr>
          <w:rFonts w:ascii="宋体" w:cs="宋体" w:eastAsia="宋体" w:hAnsi="宋体"/>
          <w:sz w:val="24"/>
          <w:spacing w:val="0"/>
          <w:b w:val="on"/>
          <w:i w:val="off"/>
        </w:rPr>
        <w:t>当前Cubical Agda在高维动态几何表示方面的主要优势</w:t>
      </w:r>
      <w:r>
        <w:rPr>
          <w:rFonts w:ascii="宋体" w:cs="宋体" w:eastAsia="宋体" w:hAnsi="宋体"/>
          <w:sz w:val="24"/>
          <w:spacing w:val="0"/>
          <w:b w:val="off"/>
          <w:i w:val="off"/>
        </w:rPr>
        <w:t>包括：</w:t>
      </w:r>
      <w:bookmarkEnd w:id="1085"/>
    </w:p>
    <w:p>
      <w:pPr>
        <w:pageBreakBefore w:val="off"/>
        <w:numPr>
          <w:ilvl w:val="0"/>
          <w:numId w:val="10"/>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n"/>
          <w:i w:val="off"/>
        </w:rPr>
        <w:t>直接保留高阶同伦信息</w:t>
      </w:r>
      <w:r>
        <w:rPr>
          <w:rFonts w:ascii="宋体" w:cs="宋体" w:eastAsia="宋体" w:hAnsi="宋体"/>
          <w:sz w:val="24"/>
          <w:spacing w:val="0"/>
          <w:b w:val="off"/>
          <w:i w:val="off"/>
        </w:rPr>
        <w:t>：通过路径类型的组合运算保留高阶结构，无需低维投影</w:t>
      </w:r>
      <w:bookmarkEnd w:id="1086"/>
    </w:p>
    <w:p>
      <w:pPr>
        <w:pageBreakBefore w:val="off"/>
        <w:numPr>
          <w:ilvl w:val="0"/>
          <w:numId w:val="10"/>
        </w:numPr>
        <w:tabs/>
        <w:wordWrap w:val="on"/>
        <w:spacing w:after="0" w:before="160"/>
        <w:ind w:hanging="440" w:left="440" w:right="0"/>
        <w:jc w:val="left"/>
        <w:textAlignment w:val="auto"/>
        <w:rPr>
          <w:sz w:val="24"/>
        </w:rPr>
      </w:pPr>
      <w:bookmarkStart w:id="1087" w:name=""/>
      <w:r>
        <w:rPr>
          <w:rFonts w:ascii="宋体" w:cs="宋体" w:eastAsia="宋体" w:hAnsi="宋体"/>
          <w:sz w:val="24"/>
          <w:spacing w:val="0"/>
          <w:b w:val="on"/>
          <w:i w:val="off"/>
        </w:rPr>
        <w:t>非交换性保留</w:t>
      </w:r>
      <w:r>
        <w:rPr>
          <w:rFonts w:ascii="宋体" w:cs="宋体" w:eastAsia="宋体" w:hAnsi="宋体"/>
          <w:sz w:val="24"/>
          <w:spacing w:val="0"/>
          <w:b w:val="off"/>
          <w:i w:val="off"/>
        </w:rPr>
        <w:t>：在基本群中保留非交换结构，只有在更高阶时才出现交换性</w:t>
      </w:r>
      <w:bookmarkEnd w:id="1087"/>
    </w:p>
    <w:p>
      <w:pPr>
        <w:pageBreakBefore w:val="off"/>
        <w:numPr>
          <w:ilvl w:val="0"/>
          <w:numId w:val="10"/>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n"/>
          <w:i w:val="off"/>
        </w:rPr>
        <w:t>开区间约束支持</w:t>
      </w:r>
      <w:r>
        <w:rPr>
          <w:rFonts w:ascii="宋体" w:cs="宋体" w:eastAsia="宋体" w:hAnsi="宋体"/>
          <w:sz w:val="24"/>
          <w:spacing w:val="0"/>
          <w:b w:val="off"/>
          <w:i w:val="off"/>
        </w:rPr>
        <w:t>：通过</w:t>
      </w:r>
      <w:r>
        <w:rPr>
          <w:rFonts w:ascii="宋体" w:cs="宋体" w:eastAsia="宋体" w:hAnsi="宋体"/>
          <w:sz w:val="24"/>
          <w:spacing w:val="0"/>
          <w:b w:val="off"/>
          <w:i w:val="off"/>
        </w:rPr>
        <w:t>约束定义开放路径，支持非闭合相位</w:t>
      </w:r>
      <w:bookmarkEnd w:id="1088"/>
    </w:p>
    <w:p>
      <w:pPr>
        <w:pageBreakBefore w:val="off"/>
        <w:numPr>
          <w:ilvl w:val="0"/>
          <w:numId w:val="10"/>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n"/>
          <w:i w:val="off"/>
        </w:rPr>
        <w:t>计算性优势</w:t>
      </w:r>
      <w:r>
        <w:rPr>
          <w:rFonts w:ascii="宋体" w:cs="宋体" w:eastAsia="宋体" w:hAnsi="宋体"/>
          <w:sz w:val="24"/>
          <w:spacing w:val="0"/>
          <w:b w:val="off"/>
          <w:i w:val="off"/>
        </w:rPr>
        <w:t>：Univalence和HITs具有计算行为，支持高阶同伦的机械化推导</w:t>
      </w:r>
      <w:bookmarkEnd w:id="1089"/>
    </w:p>
    <w:p>
      <w:pPr>
        <w:pageBreakBefore w:val="off"/>
        <w:tabs/>
        <w:wordWrap w:val="on"/>
        <w:spacing w:after="0" w:before="160"/>
        <w:ind w:left="0" w:right="0"/>
        <w:jc w:val="left"/>
        <w:textAlignment w:val="auto"/>
        <w:rPr>
          <w:sz w:val="24"/>
        </w:rPr>
      </w:pPr>
      <w:bookmarkStart w:id="1090" w:name=""/>
      <w:r>
        <w:rPr>
          <w:rFonts w:ascii="宋体" w:cs="宋体" w:eastAsia="宋体" w:hAnsi="宋体"/>
          <w:sz w:val="24"/>
          <w:spacing w:val="0"/>
          <w:b w:val="off"/>
          <w:i w:val="off"/>
        </w:rPr>
        <w:t>然而，</w:t>
      </w:r>
      <w:r>
        <w:rPr>
          <w:rFonts w:ascii="宋体" w:cs="宋体" w:eastAsia="宋体" w:hAnsi="宋体"/>
          <w:sz w:val="24"/>
          <w:spacing w:val="0"/>
          <w:b w:val="on"/>
          <w:i w:val="off"/>
        </w:rPr>
        <w:t>Cubical Agda在高维动态几何表示方面仍面临挑战</w:t>
      </w:r>
      <w:r>
        <w:rPr>
          <w:rFonts w:ascii="宋体" w:cs="宋体" w:eastAsia="宋体" w:hAnsi="宋体"/>
          <w:sz w:val="24"/>
          <w:spacing w:val="0"/>
          <w:b w:val="off"/>
          <w:i w:val="off"/>
        </w:rPr>
        <w:t>：</w:t>
      </w:r>
      <w:bookmarkEnd w:id="1090"/>
    </w:p>
    <w:p>
      <w:pPr>
        <w:pageBreakBefore w:val="off"/>
        <w:numPr>
          <w:ilvl w:val="0"/>
          <w:numId w:val="11"/>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n"/>
          <w:i w:val="off"/>
        </w:rPr>
        <w:t>高阶同伦的复杂性</w:t>
      </w:r>
      <w:r>
        <w:rPr>
          <w:rFonts w:ascii="宋体" w:cs="宋体" w:eastAsia="宋体" w:hAnsi="宋体"/>
          <w:sz w:val="24"/>
          <w:spacing w:val="0"/>
          <w:b w:val="off"/>
          <w:i w:val="off"/>
        </w:rPr>
        <w:t>：随着维度增加，路径组合和填充的复杂度呈指数增长</w:t>
      </w:r>
      <w:bookmarkEnd w:id="1091"/>
    </w:p>
    <w:p>
      <w:pPr>
        <w:pageBreakBefore w:val="off"/>
        <w:numPr>
          <w:ilvl w:val="0"/>
          <w:numId w:val="11"/>
        </w:numPr>
        <w:tabs/>
        <w:wordWrap w:val="on"/>
        <w:spacing w:after="0" w:before="160"/>
        <w:ind w:hanging="440" w:left="440" w:right="0"/>
        <w:jc w:val="left"/>
        <w:textAlignment w:val="auto"/>
        <w:rPr>
          <w:sz w:val="24"/>
        </w:rPr>
      </w:pPr>
      <w:bookmarkStart w:id="1092" w:name=""/>
      <w:r>
        <w:rPr>
          <w:rFonts w:ascii="宋体" w:cs="宋体" w:eastAsia="宋体" w:hAnsi="宋体"/>
          <w:sz w:val="24"/>
          <w:spacing w:val="0"/>
          <w:b w:val="on"/>
          <w:i w:val="off"/>
        </w:rPr>
        <w:t>微分几何基础库缺失</w:t>
      </w:r>
      <w:r>
        <w:rPr>
          <w:rFonts w:ascii="宋体" w:cs="宋体" w:eastAsia="宋体" w:hAnsi="宋体"/>
          <w:sz w:val="24"/>
          <w:spacing w:val="0"/>
          <w:b w:val="off"/>
          <w:i w:val="off"/>
        </w:rPr>
        <w:t>：缺乏专门针对Riemann流形、测地线等微分几何概念的形式化库</w:t>
      </w:r>
      <w:bookmarkEnd w:id="1092"/>
    </w:p>
    <w:p>
      <w:pPr>
        <w:pageBreakBefore w:val="off"/>
        <w:numPr>
          <w:ilvl w:val="0"/>
          <w:numId w:val="11"/>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n"/>
          <w:i w:val="off"/>
        </w:rPr>
        <w:t>自动化支持有限</w:t>
      </w:r>
      <w:r>
        <w:rPr>
          <w:rFonts w:ascii="宋体" w:cs="宋体" w:eastAsia="宋体" w:hAnsi="宋体"/>
          <w:sz w:val="24"/>
          <w:spacing w:val="0"/>
          <w:b w:val="off"/>
          <w:i w:val="off"/>
        </w:rPr>
        <w:t>：对于复杂的高阶同伦证明，自动化支持仍显不足</w:t>
      </w:r>
      <w:bookmarkEnd w:id="1093"/>
    </w:p>
    <w:p>
      <w:pPr>
        <w:pageBreakBefore w:val="off"/>
        <w:tabs/>
        <w:wordWrap w:val="on"/>
        <w:spacing w:after="0" w:before="160"/>
        <w:ind w:left="0" w:right="0"/>
        <w:jc w:val="left"/>
        <w:textAlignment w:val="auto"/>
        <w:rPr>
          <w:sz w:val="24"/>
        </w:rPr>
      </w:pPr>
      <w:bookmarkStart w:id="1094" w:name=""/>
      <w:r>
        <w:rPr>
          <w:rFonts w:ascii="宋体" w:cs="宋体" w:eastAsia="宋体" w:hAnsi="宋体"/>
          <w:sz w:val="24"/>
          <w:spacing w:val="0"/>
          <w:b w:val="off"/>
          <w:i w:val="off"/>
        </w:rPr>
        <w:t>未来，随着</w:t>
      </w:r>
      <w:r>
        <w:rPr>
          <w:rFonts w:ascii="宋体" w:cs="宋体" w:eastAsia="宋体" w:hAnsi="宋体"/>
          <w:sz w:val="24"/>
          <w:spacing w:val="0"/>
          <w:b w:val="on"/>
          <w:i w:val="off"/>
        </w:rPr>
        <w:t>高阶范畴论与HoTT的深度融合</w:t>
      </w:r>
      <w:r>
        <w:rPr>
          <w:rFonts w:ascii="宋体" w:cs="宋体" w:eastAsia="宋体" w:hAnsi="宋体"/>
          <w:sz w:val="24"/>
          <w:spacing w:val="0"/>
          <w:b w:val="off"/>
          <w:i w:val="off"/>
        </w:rPr>
        <w:t>，以及</w:t>
      </w:r>
      <w:r>
        <w:rPr>
          <w:rFonts w:ascii="宋体" w:cs="宋体" w:eastAsia="宋体" w:hAnsi="宋体"/>
          <w:sz w:val="24"/>
          <w:spacing w:val="0"/>
          <w:b w:val="on"/>
          <w:i w:val="off"/>
        </w:rPr>
        <w:t>自动化证明技术的进步</w:t>
      </w:r>
      <w:r>
        <w:rPr>
          <w:rFonts w:ascii="宋体" w:cs="宋体" w:eastAsia="宋体" w:hAnsi="宋体"/>
          <w:sz w:val="24"/>
          <w:spacing w:val="0"/>
          <w:b w:val="off"/>
          <w:i w:val="off"/>
        </w:rPr>
        <w:t>，Cubical Agda有望进一步扩展其在高维动态几何领域的应用。特别是对于"螺旋测地线极限环"等复杂结构，通过定义合适的高阶路径类型和组合规则，可以在Cubical Agda中实现其精确的形式化表示，为几何与拓扑的计算性研究开辟新方向。</w:t>
      </w:r>
      <w:bookmarkEnd w:id="1094"/>
    </w:p>
    <w:p>
      <w:pPr>
        <w:pageBreakBefore w:val="off"/>
        <w:tabs/>
        <w:wordWrap w:val="on"/>
        <w:spacing w:after="0" w:before="160"/>
        <w:ind w:left="0" w:right="0"/>
        <w:jc w:val="left"/>
        <w:textAlignment w:val="auto"/>
        <w:rPr>
          <w:sz w:val="28"/>
        </w:rPr>
      </w:pPr>
      <w:bookmarkStart w:id="1095" w:name=""/>
      <w:r>
        <w:rPr>
          <w:rFonts w:ascii="宋体" w:cs="宋体" w:eastAsia="宋体" w:hAnsi="宋体"/>
          <w:sz w:val="28"/>
          <w:spacing w:val="0"/>
          <w:b w:val="on"/>
          <w:i w:val="off"/>
        </w:rPr>
        <w:t>参考来源</w:t>
      </w:r>
      <w:bookmarkEnd w:id="1095"/>
    </w:p>
    <w:p>
      <w:pPr>
        <w:pageBreakBefore w:val="off"/>
        <w:tabs/>
        <w:wordWrap w:val="on"/>
        <w:spacing w:after="0" w:before="160"/>
        <w:ind w:left="0" w:right="0"/>
        <w:jc w:val="left"/>
        <w:textAlignment w:val="auto"/>
        <w:rPr>
          <w:sz w:val="24"/>
        </w:rPr>
      </w:pPr>
      <w:bookmarkStart w:id="1096" w:name=""/>
      <w:r>
        <w:rPr>
          <w:rFonts w:ascii="宋体" w:cs="宋体" w:eastAsia="宋体" w:hAnsi="宋体"/>
          <w:sz w:val="24"/>
          <w:spacing w:val="0"/>
          <w:b w:val="off"/>
          <w:i w:val="off"/>
        </w:rPr>
        <w:t>[1]Agda (Rev #16, changes)</w:t>
      </w:r>
      <w:bookmarkEnd w:id="1096"/>
    </w:p>
    <w:p>
      <w:pPr>
        <w:pageBreakBefore w:val="off"/>
        <w:tabs/>
        <w:wordWrap w:val="on"/>
        <w:spacing w:after="0" w:before="160"/>
        <w:ind w:left="0" w:right="0"/>
        <w:jc w:val="left"/>
        <w:textAlignment w:val="auto"/>
        <w:rPr>
          <w:sz w:val="24"/>
        </w:rPr>
      </w:pPr>
      <w:bookmarkStart w:id="1097" w:name=""/>
      <w:r>
        <w:rPr>
          <w:rFonts w:ascii="宋体" w:cs="宋体" w:eastAsia="宋体" w:hAnsi="宋体"/>
          <w:sz w:val="24"/>
          <w:spacing w:val="0"/>
          <w:b w:val="off"/>
          <w:i w:val="off"/>
        </w:rPr>
        <w:t>https://ncatlab.org/nlab/revision/diff/Agda/16</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ff"/>
          <w:i w:val="off"/>
        </w:rPr>
        <w:t>[2]Cubical.Core.Primitives</w:t>
      </w:r>
      <w:bookmarkEnd w:id="1098"/>
    </w:p>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ff"/>
          <w:i w:val="off"/>
        </w:rPr>
        <w:t>https://arxiv.org/src/2512.10748v1/anc/html/Cubical.Core.Primitives.html</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ff"/>
          <w:i w:val="off"/>
        </w:rPr>
        <w:t>[3]Cubical Agda: A dependently typed programming language with univalence and higher inductive types</w:t>
      </w:r>
      <w:bookmarkEnd w:id="1100"/>
    </w:p>
    <w:p>
      <w:pPr>
        <w:pageBreakBefore w:val="off"/>
        <w:tabs/>
        <w:wordWrap w:val="on"/>
        <w:spacing w:after="0" w:before="160"/>
        <w:ind w:left="0" w:right="0"/>
        <w:jc w:val="left"/>
        <w:textAlignment w:val="auto"/>
        <w:rPr>
          <w:sz w:val="24"/>
        </w:rPr>
      </w:pPr>
      <w:bookmarkStart w:id="1101" w:name=""/>
      <w:r>
        <w:rPr>
          <w:rFonts w:ascii="宋体" w:cs="宋体" w:eastAsia="宋体" w:hAnsi="宋体"/>
          <w:sz w:val="24"/>
          <w:spacing w:val="0"/>
          <w:b w:val="off"/>
          <w:i w:val="off"/>
        </w:rPr>
        <w:t>https://research.chalmers.se/publication/547255</w:t>
      </w:r>
      <w:bookmarkEnd w:id="1101"/>
    </w:p>
    <w:p>
      <w:pPr>
        <w:pageBreakBefore w:val="off"/>
        <w:tabs/>
        <w:wordWrap w:val="on"/>
        <w:spacing w:after="0" w:before="160"/>
        <w:ind w:left="0" w:right="0"/>
        <w:jc w:val="left"/>
        <w:textAlignment w:val="auto"/>
        <w:rPr>
          <w:sz w:val="24"/>
        </w:rPr>
      </w:pPr>
      <w:bookmarkStart w:id="1102" w:name=""/>
      <w:r>
        <w:rPr>
          <w:rFonts w:ascii="宋体" w:cs="宋体" w:eastAsia="宋体" w:hAnsi="宋体"/>
          <w:sz w:val="24"/>
          <w:spacing w:val="0"/>
          <w:b w:val="off"/>
          <w:i w:val="off"/>
        </w:rPr>
        <w:t>[4]Can I use inductive type families in Cubical Agda?</w:t>
      </w:r>
      <w:bookmarkEnd w:id="1102"/>
    </w:p>
    <w:p>
      <w:pPr>
        <w:pageBreakBefore w:val="off"/>
        <w:tabs/>
        <w:wordWrap w:val="on"/>
        <w:spacing w:after="0" w:before="160"/>
        <w:ind w:left="0" w:right="0"/>
        <w:jc w:val="left"/>
        <w:textAlignment w:val="auto"/>
        <w:rPr>
          <w:sz w:val="24"/>
        </w:rPr>
      </w:pPr>
      <w:bookmarkStart w:id="1103" w:name=""/>
      <w:r>
        <w:rPr>
          <w:rFonts w:ascii="宋体" w:cs="宋体" w:eastAsia="宋体" w:hAnsi="宋体"/>
          <w:sz w:val="24"/>
          <w:spacing w:val="0"/>
          <w:b w:val="off"/>
          <w:i w:val="off"/>
        </w:rPr>
        <w:t>https://exchangetuts.com/can-i-use-inductive-type-families-in-cubical-agda-1640978044155955</w:t>
      </w:r>
      <w:bookmarkEnd w:id="1103"/>
    </w:p>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ff"/>
          <w:i w:val="off"/>
        </w:rPr>
        <w:t>[5]The Agda Universal Algebra Library, Part 1: Foundation</w:t>
      </w:r>
      <w:bookmarkEnd w:id="1104"/>
    </w:p>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ff"/>
          <w:i w:val="off"/>
        </w:rPr>
        <w:t>http://arxiv.org/abs/2103.05581?context=math</w:t>
      </w:r>
      <w:bookmarkEnd w:id="1105"/>
    </w:p>
    <w:p>
      <w:pPr>
        <w:pageBreakBefore w:val="off"/>
        <w:tabs/>
        <w:wordWrap w:val="on"/>
        <w:spacing w:after="0" w:before="160"/>
        <w:ind w:left="0" w:right="0"/>
        <w:jc w:val="left"/>
        <w:textAlignment w:val="auto"/>
        <w:rPr>
          <w:sz w:val="24"/>
        </w:rPr>
      </w:pPr>
      <w:bookmarkStart w:id="1106" w:name=""/>
      <w:r>
        <w:rPr>
          <w:rFonts w:ascii="宋体" w:cs="宋体" w:eastAsia="宋体" w:hAnsi="宋体"/>
          <w:sz w:val="24"/>
          <w:spacing w:val="0"/>
          <w:b w:val="off"/>
          <w:i w:val="off"/>
        </w:rPr>
        <w:t>[6]Editing Agda</w:t>
      </w:r>
      <w:bookmarkEnd w:id="1106"/>
    </w:p>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ff"/>
          <w:i w:val="off"/>
        </w:rPr>
        <w:t>https://ncatlab.org/nlab/edit/Agda?break_lock=1</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ff"/>
          <w:i w:val="off"/>
        </w:rPr>
        <w:t>[7]Agda (Rev #17, changes)</w:t>
      </w:r>
      <w:bookmarkEnd w:id="1108"/>
    </w:p>
    <w:p>
      <w:pPr>
        <w:pageBreakBefore w:val="off"/>
        <w:tabs/>
        <w:wordWrap w:val="on"/>
        <w:spacing w:after="0" w:before="160"/>
        <w:ind w:left="0" w:right="0"/>
        <w:jc w:val="left"/>
        <w:textAlignment w:val="auto"/>
        <w:rPr>
          <w:sz w:val="24"/>
        </w:rPr>
      </w:pPr>
      <w:bookmarkStart w:id="1109" w:name=""/>
      <w:r>
        <w:rPr>
          <w:rFonts w:ascii="宋体" w:cs="宋体" w:eastAsia="宋体" w:hAnsi="宋体"/>
          <w:sz w:val="24"/>
          <w:spacing w:val="0"/>
          <w:b w:val="off"/>
          <w:i w:val="off"/>
        </w:rPr>
        <w:t>https://ncatlab.org/nlab/revision/diff/Agda/17</w:t>
      </w:r>
      <w:bookmarkEnd w:id="1109"/>
    </w:p>
    <w:p>
      <w:pPr>
        <w:pageBreakBefore w:val="off"/>
        <w:tabs/>
        <w:wordWrap w:val="on"/>
        <w:spacing w:after="0" w:before="160"/>
        <w:ind w:left="0" w:right="0"/>
        <w:jc w:val="left"/>
        <w:textAlignment w:val="auto"/>
        <w:rPr>
          <w:sz w:val="24"/>
        </w:rPr>
      </w:pPr>
      <w:bookmarkStart w:id="1110" w:name=""/>
      <w:r>
        <w:rPr>
          <w:rFonts w:ascii="宋体" w:cs="宋体" w:eastAsia="宋体" w:hAnsi="宋体"/>
          <w:sz w:val="24"/>
          <w:spacing w:val="0"/>
          <w:b w:val="off"/>
          <w:i w:val="off"/>
        </w:rPr>
        <w:t>[8]Formalizing π(S³)≌ Z/2Z and Computing a Brunerie Number in Cubical Agda</w:t>
      </w:r>
      <w:bookmarkEnd w:id="1110"/>
    </w:p>
    <w:p>
      <w:pPr>
        <w:pageBreakBefore w:val="off"/>
        <w:tabs/>
        <w:wordWrap w:val="on"/>
        <w:spacing w:after="0" w:before="160"/>
        <w:ind w:left="0" w:right="0"/>
        <w:jc w:val="left"/>
        <w:textAlignment w:val="auto"/>
        <w:rPr>
          <w:sz w:val="24"/>
        </w:rPr>
      </w:pPr>
      <w:bookmarkStart w:id="1111" w:name=""/>
      <w:r>
        <w:rPr>
          <w:rFonts w:ascii="宋体" w:cs="宋体" w:eastAsia="宋体" w:hAnsi="宋体"/>
          <w:sz w:val="24"/>
          <w:spacing w:val="0"/>
          <w:b w:val="off"/>
          <w:i w:val="off"/>
        </w:rPr>
        <w:t>https://arxiv.org/abs/2302.00151</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ff"/>
          <w:i w:val="off"/>
        </w:rPr>
        <w:t>[9]LabVIEW 2026 Q1 更新了哪些功能？工程师该不该升级？（附离线下载链接） - 哔哩哔哩</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ff"/>
          <w:i w:val="off"/>
        </w:rPr>
        <w:t>https://www.bilibili.com/opus/1163700201840443431</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ff"/>
          <w:i w:val="off"/>
        </w:rPr>
        <w:t>[10]TYPE-THEORETIC APPROACHES TO ORDINALS</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ff"/>
          <w:i w:val="off"/>
        </w:rPr>
        <w:t>https://arxiv.org/abs/2208.03844</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ff"/>
          <w:i w:val="off"/>
        </w:rPr>
        <w:t>[11]1lab</w:t>
      </w:r>
      <w:bookmarkEnd w:id="1116"/>
    </w:p>
    <w:p>
      <w:pPr>
        <w:pageBreakBefore w:val="off"/>
        <w:tabs/>
        <w:wordWrap w:val="on"/>
        <w:spacing w:after="0" w:before="160"/>
        <w:ind w:left="0" w:right="0"/>
        <w:jc w:val="left"/>
        <w:textAlignment w:val="auto"/>
        <w:rPr>
          <w:sz w:val="24"/>
        </w:rPr>
      </w:pPr>
      <w:bookmarkStart w:id="1117" w:name=""/>
      <w:r>
        <w:rPr>
          <w:rFonts w:ascii="宋体" w:cs="宋体" w:eastAsia="宋体" w:hAnsi="宋体"/>
          <w:sz w:val="24"/>
          <w:spacing w:val="0"/>
          <w:b w:val="off"/>
          <w:i w:val="off"/>
        </w:rPr>
        <w:t>https://ncatlab.org/nlab/print/1lab</w:t>
      </w:r>
      <w:bookmarkEnd w:id="1117"/>
    </w:p>
    <w:p>
      <w:pPr>
        <w:pageBreakBefore w:val="off"/>
        <w:tabs/>
        <w:wordWrap w:val="on"/>
        <w:spacing w:after="0" w:before="160"/>
        <w:ind w:left="0" w:right="0"/>
        <w:jc w:val="left"/>
        <w:textAlignment w:val="auto"/>
        <w:rPr>
          <w:sz w:val="24"/>
        </w:rPr>
      </w:pPr>
      <w:bookmarkStart w:id="1118" w:name=""/>
      <w:r>
        <w:rPr>
          <w:rFonts w:ascii="宋体" w:cs="宋体" w:eastAsia="宋体" w:hAnsi="宋体"/>
          <w:sz w:val="24"/>
          <w:spacing w:val="0"/>
          <w:b w:val="off"/>
          <w:i w:val="off"/>
        </w:rPr>
        <w:t>[12]Towards Proof Repair in Cubical Agga</w:t>
      </w:r>
      <w:bookmarkEnd w:id="1118"/>
    </w:p>
    <w:p>
      <w:pPr>
        <w:pageBreakBefore w:val="off"/>
        <w:tabs/>
        <w:wordWrap w:val="on"/>
        <w:spacing w:after="0" w:before="160"/>
        <w:ind w:left="0" w:right="0"/>
        <w:jc w:val="left"/>
        <w:textAlignment w:val="auto"/>
        <w:rPr>
          <w:sz w:val="24"/>
        </w:rPr>
      </w:pPr>
      <w:bookmarkStart w:id="1119" w:name=""/>
      <w:r>
        <w:rPr>
          <w:rFonts w:ascii="宋体" w:cs="宋体" w:eastAsia="宋体" w:hAnsi="宋体"/>
          <w:sz w:val="24"/>
          <w:spacing w:val="0"/>
          <w:b w:val="off"/>
          <w:i w:val="off"/>
        </w:rPr>
        <w:t>https://arxiv.org/abs/2310.06959</w:t>
      </w:r>
      <w:bookmarkEnd w:id="1119"/>
    </w:p>
    <w:p>
      <w:pPr>
        <w:pageBreakBefore w:val="off"/>
        <w:tabs/>
        <w:wordWrap w:val="on"/>
        <w:spacing w:after="0" w:before="160"/>
        <w:ind w:left="0" w:right="0"/>
        <w:jc w:val="left"/>
        <w:textAlignment w:val="auto"/>
        <w:rPr>
          <w:sz w:val="24"/>
        </w:rPr>
      </w:pPr>
      <w:bookmarkStart w:id="1120" w:name=""/>
      <w:r>
        <w:rPr>
          <w:rFonts w:ascii="宋体" w:cs="宋体" w:eastAsia="宋体" w:hAnsi="宋体"/>
          <w:sz w:val="24"/>
          <w:spacing w:val="0"/>
          <w:b w:val="off"/>
          <w:i w:val="off"/>
        </w:rPr>
        <w:t>[13]Symmetric Monoidal Smash Products in Homotopy Type Theory</w:t>
      </w:r>
      <w:bookmarkEnd w:id="1120"/>
    </w:p>
    <w:p>
      <w:pPr>
        <w:pageBreakBefore w:val="off"/>
        <w:tabs/>
        <w:wordWrap w:val="on"/>
        <w:spacing w:after="0" w:before="160"/>
        <w:ind w:left="0" w:right="0"/>
        <w:jc w:val="left"/>
        <w:textAlignment w:val="auto"/>
        <w:rPr>
          <w:sz w:val="24"/>
        </w:rPr>
      </w:pPr>
      <w:bookmarkStart w:id="1121" w:name=""/>
      <w:r>
        <w:rPr>
          <w:rFonts w:ascii="宋体" w:cs="宋体" w:eastAsia="宋体" w:hAnsi="宋体"/>
          <w:sz w:val="24"/>
          <w:spacing w:val="0"/>
          <w:b w:val="off"/>
          <w:i w:val="off"/>
        </w:rPr>
        <w:t>https://arxiv.org/abs/2402.03523</w:t>
      </w:r>
      <w:bookmarkEnd w:id="1121"/>
    </w:p>
    <w:p>
      <w:pPr>
        <w:pageBreakBefore w:val="off"/>
        <w:tabs/>
        <w:wordWrap w:val="on"/>
        <w:spacing w:after="0" w:before="160"/>
        <w:ind w:left="0" w:right="0"/>
        <w:jc w:val="left"/>
        <w:textAlignment w:val="auto"/>
        <w:rPr>
          <w:sz w:val="24"/>
        </w:rPr>
      </w:pPr>
      <w:bookmarkStart w:id="1122" w:name=""/>
      <w:r>
        <w:rPr>
          <w:rFonts w:ascii="宋体" w:cs="宋体" w:eastAsia="宋体" w:hAnsi="宋体"/>
          <w:sz w:val="24"/>
          <w:spacing w:val="0"/>
          <w:b w:val="off"/>
          <w:i w:val="off"/>
        </w:rPr>
        <w:t>[14]Cubical Agda: A Dependently Typed Programming Language with Univalence and Higher Inductive Types</w:t>
      </w:r>
      <w:bookmarkEnd w:id="1122"/>
    </w:p>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ff"/>
          <w:i w:val="off"/>
        </w:rPr>
        <w:t>https://www.cambridge.org/core/services/aop-cambridge-core/content/view/839F14B5227969B039D7B57AA8272C6B/S0956796821000034a.pdf/cubical-agda-a-dependently-typed-programming-language-with-univalence-and-higher-inductive-types.pdf</w:t>
      </w:r>
      <w:bookmarkEnd w:id="1123"/>
    </w:p>
    <w:p>
      <w:pPr>
        <w:pageBreakBefore w:val="off"/>
        <w:tabs/>
        <w:wordWrap w:val="on"/>
        <w:spacing w:after="0" w:before="160"/>
        <w:ind w:left="0" w:right="0"/>
        <w:jc w:val="left"/>
        <w:textAlignment w:val="auto"/>
        <w:rPr>
          <w:sz w:val="24"/>
        </w:rPr>
      </w:pPr>
      <w:bookmarkStart w:id="1124" w:name=""/>
      <w:r>
        <w:rPr>
          <w:rFonts w:ascii="宋体" w:cs="宋体" w:eastAsia="宋体" w:hAnsi="宋体"/>
          <w:sz w:val="24"/>
          <w:spacing w:val="0"/>
          <w:b w:val="off"/>
          <w:i w:val="off"/>
        </w:rPr>
        <w:t>[15]Parametricity and Semi-Cubical Types</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ff"/>
          <w:i w:val="off"/>
        </w:rPr>
        <w:t>https://arxiv.org/abs/2105.08422</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ff"/>
          <w:i w:val="off"/>
        </w:rPr>
        <w:t>[16]Higher-Order Label Homogeneity and Spreading in Networks</w:t>
      </w:r>
      <w:bookmarkEnd w:id="1126"/>
    </w:p>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ff"/>
          <w:i w:val="off"/>
        </w:rPr>
        <w:t>https://arxiv.org/abs/2002.07833</w:t>
      </w:r>
      <w:bookmarkEnd w:id="1127"/>
    </w:p>
    <w:p>
      <w:pPr>
        <w:pageBreakBefore w:val="off"/>
        <w:tabs/>
        <w:wordWrap w:val="on"/>
        <w:spacing w:after="0" w:before="160"/>
        <w:ind w:left="0" w:right="0"/>
        <w:jc w:val="left"/>
        <w:textAlignment w:val="auto"/>
        <w:rPr>
          <w:sz w:val="24"/>
        </w:rPr>
      </w:pPr>
      <w:bookmarkStart w:id="1128" w:name=""/>
      <w:r>
        <w:rPr>
          <w:rFonts w:ascii="宋体" w:cs="宋体" w:eastAsia="宋体" w:hAnsi="宋体"/>
          <w:sz w:val="24"/>
          <w:spacing w:val="0"/>
          <w:b w:val="off"/>
          <w:i w:val="off"/>
        </w:rPr>
        <w:t>[17]The Agda Universal Algebra Library Part 1: Foundation</w:t>
      </w:r>
      <w:bookmarkEnd w:id="1128"/>
    </w:p>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ff"/>
          <w:i w:val="off"/>
        </w:rPr>
        <w:t>https://arxiv.org/abs/2103.05581</w:t>
      </w:r>
      <w:bookmarkEnd w:id="1129"/>
    </w:p>
    <w:p>
      <w:pPr>
        <w:pageBreakBefore w:val="off"/>
        <w:tabs/>
        <w:wordWrap w:val="on"/>
        <w:spacing w:after="0" w:before="160"/>
        <w:ind w:left="0" w:right="0"/>
        <w:jc w:val="left"/>
        <w:textAlignment w:val="auto"/>
        <w:rPr>
          <w:sz w:val="24"/>
        </w:rPr>
      </w:pPr>
      <w:bookmarkStart w:id="1130" w:name=""/>
      <w:r>
        <w:rPr>
          <w:rFonts w:ascii="宋体" w:cs="宋体" w:eastAsia="宋体" w:hAnsi="宋体"/>
          <w:sz w:val="24"/>
          <w:spacing w:val="0"/>
          <w:b w:val="off"/>
          <w:i w:val="off"/>
        </w:rPr>
        <w:t>[18]Automating Boundary Filling in Cubical Agga</w:t>
      </w:r>
      <w:bookmarkEnd w:id="1130"/>
    </w:p>
    <w:p>
      <w:pPr>
        <w:pageBreakBefore w:val="off"/>
        <w:tabs/>
        <w:wordWrap w:val="on"/>
        <w:spacing w:after="0" w:before="160"/>
        <w:ind w:left="0" w:right="0"/>
        <w:jc w:val="left"/>
        <w:textAlignment w:val="auto"/>
        <w:rPr>
          <w:sz w:val="24"/>
        </w:rPr>
      </w:pPr>
      <w:bookmarkStart w:id="1131" w:name=""/>
      <w:r>
        <w:rPr>
          <w:rFonts w:ascii="宋体" w:cs="宋体" w:eastAsia="宋体" w:hAnsi="宋体"/>
          <w:sz w:val="24"/>
          <w:spacing w:val="0"/>
          <w:b w:val="off"/>
          <w:i w:val="off"/>
        </w:rPr>
        <w:t>https://arxiv.org/abs/2402.12169</w:t>
      </w:r>
      <w:bookmarkEnd w:id="1131"/>
    </w:p>
    <w:p>
      <w:pPr>
        <w:pageBreakBefore w:val="off"/>
        <w:tabs/>
        <w:wordWrap w:val="on"/>
        <w:spacing w:after="0" w:before="160"/>
        <w:ind w:left="0" w:right="0"/>
        <w:jc w:val="left"/>
        <w:textAlignment w:val="auto"/>
        <w:rPr>
          <w:sz w:val="24"/>
        </w:rPr>
      </w:pPr>
      <w:bookmarkStart w:id="1132" w:name=""/>
      <w:r>
        <w:rPr>
          <w:rFonts w:ascii="宋体" w:cs="宋体" w:eastAsia="宋体" w:hAnsi="宋体"/>
          <w:sz w:val="24"/>
          <w:spacing w:val="0"/>
          <w:b w:val="off"/>
          <w:i w:val="off"/>
        </w:rPr>
        <w:t>[19]Generalized cluster trees and singular measures</w:t>
      </w:r>
      <w:bookmarkEnd w:id="1132"/>
    </w:p>
    <w:p>
      <w:pPr>
        <w:pageBreakBefore w:val="off"/>
        <w:tabs/>
        <w:wordWrap w:val="on"/>
        <w:spacing w:after="0" w:before="160"/>
        <w:ind w:left="0" w:right="0"/>
        <w:jc w:val="left"/>
        <w:textAlignment w:val="auto"/>
        <w:rPr>
          <w:sz w:val="24"/>
        </w:rPr>
      </w:pPr>
      <w:bookmarkStart w:id="1133" w:name=""/>
      <w:r>
        <w:rPr>
          <w:rFonts w:ascii="宋体" w:cs="宋体" w:eastAsia="宋体" w:hAnsi="宋体"/>
          <w:sz w:val="24"/>
          <w:spacing w:val="0"/>
          <w:b w:val="off"/>
          <w:i w:val="off"/>
        </w:rPr>
        <w:t>https://arxiv.org/abs/1611.02762</w:t>
      </w:r>
      <w:bookmarkEnd w:id="1133"/>
    </w:p>
    <w:p>
      <w:pPr>
        <w:pageBreakBefore w:val="off"/>
        <w:tabs/>
        <w:wordWrap w:val="on"/>
        <w:spacing w:after="0" w:before="160"/>
        <w:ind w:left="0" w:right="0"/>
        <w:jc w:val="left"/>
        <w:textAlignment w:val="auto"/>
        <w:rPr>
          <w:sz w:val="24"/>
        </w:rPr>
      </w:pPr>
      <w:bookmarkStart w:id="1134" w:name=""/>
      <w:r>
        <w:rPr>
          <w:rFonts w:ascii="宋体" w:cs="宋体" w:eastAsia="宋体" w:hAnsi="宋体"/>
          <w:sz w:val="24"/>
          <w:spacing w:val="0"/>
          <w:b w:val="off"/>
          <w:i w:val="off"/>
        </w:rPr>
        <w:t>[20]EXTERNAL UNIVALENCE FOR SECOND-ORDER GENERALIZED ALBAIC THEORIES</w:t>
      </w:r>
      <w:bookmarkEnd w:id="1134"/>
    </w:p>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ff"/>
          <w:i w:val="off"/>
        </w:rPr>
        <w:t>https://arxiv.org/abs/2211.07487</w:t>
      </w:r>
      <w:bookmarkEnd w:id="1135"/>
    </w:p>
    <w:p>
      <w:pPr>
        <w:pageBreakBefore w:val="off"/>
        <w:tabs/>
        <w:wordWrap w:val="on"/>
        <w:spacing w:after="0" w:before="160"/>
        <w:ind w:left="0" w:right="0"/>
        <w:jc w:val="left"/>
        <w:textAlignment w:val="auto"/>
        <w:rPr>
          <w:sz w:val="24"/>
        </w:rPr>
      </w:pPr>
      <w:bookmarkStart w:id="1136" w:name=""/>
      <w:r>
        <w:rPr>
          <w:rFonts w:ascii="宋体" w:cs="宋体" w:eastAsia="宋体" w:hAnsi="宋体"/>
          <w:sz w:val="24"/>
          <w:spacing w:val="0"/>
          <w:b w:val="off"/>
          <w:i w:val="off"/>
        </w:rPr>
        <w:t>[21]Unveiling the higher-order organization of multivariate time series</w:t>
      </w:r>
      <w:bookmarkEnd w:id="1136"/>
    </w:p>
    <w:p>
      <w:pPr>
        <w:pageBreakBefore w:val="off"/>
        <w:tabs/>
        <w:wordWrap w:val="on"/>
        <w:spacing w:after="0" w:before="160"/>
        <w:ind w:left="0" w:right="0"/>
        <w:jc w:val="left"/>
        <w:textAlignment w:val="auto"/>
        <w:rPr>
          <w:sz w:val="24"/>
        </w:rPr>
      </w:pPr>
      <w:bookmarkStart w:id="1137" w:name=""/>
      <w:r>
        <w:rPr>
          <w:rFonts w:ascii="宋体" w:cs="宋体" w:eastAsia="宋体" w:hAnsi="宋体"/>
          <w:sz w:val="24"/>
          <w:spacing w:val="0"/>
          <w:b w:val="off"/>
          <w:i w:val="off"/>
        </w:rPr>
        <w:t>https://arxiv.org/abs/2203.10702</w:t>
      </w:r>
      <w:bookmarkEnd w:id="1137"/>
    </w:p>
    <w:p>
      <w:pPr>
        <w:pageBreakBefore w:val="off"/>
        <w:tabs/>
        <w:wordWrap w:val="on"/>
        <w:spacing w:after="0" w:before="160"/>
        <w:ind w:left="0" w:right="0"/>
        <w:jc w:val="left"/>
        <w:textAlignment w:val="auto"/>
        <w:rPr>
          <w:sz w:val="24"/>
        </w:rPr>
      </w:pPr>
      <w:bookmarkStart w:id="1138" w:name=""/>
      <w:r>
        <w:rPr>
          <w:rFonts w:ascii="宋体" w:cs="宋体" w:eastAsia="宋体" w:hAnsi="宋体"/>
          <w:sz w:val="24"/>
          <w:spacing w:val="0"/>
          <w:b w:val="off"/>
          <w:i w:val="off"/>
        </w:rPr>
        <w:t>[22]RCoCo: Contrastive Collective Link Prediction across Multiplex Network in Riemannian Space</w:t>
      </w:r>
      <w:bookmarkEnd w:id="1138"/>
    </w:p>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ff"/>
          <w:i w:val="off"/>
        </w:rPr>
        <w:t>https://arxiv.org/abs/2403.01864</w:t>
      </w:r>
      <w:bookmarkEnd w:id="1139"/>
    </w:p>
    <w:p>
      <w:pPr>
        <w:pageBreakBefore w:val="off"/>
        <w:tabs/>
        <w:wordWrap w:val="on"/>
        <w:spacing w:after="0" w:before="160"/>
        <w:ind w:left="0" w:right="0"/>
        <w:jc w:val="left"/>
        <w:textAlignment w:val="auto"/>
        <w:rPr>
          <w:sz w:val="24"/>
        </w:rPr>
      </w:pPr>
      <w:bookmarkStart w:id="1140" w:name=""/>
      <w:r>
        <w:rPr>
          <w:rFonts w:ascii="宋体" w:cs="宋体" w:eastAsia="宋体" w:hAnsi="宋体"/>
          <w:sz w:val="24"/>
          <w:spacing w:val="0"/>
          <w:b w:val="off"/>
          <w:i w:val="off"/>
        </w:rPr>
        <w:t>[23]CUBULATED HYPERBOLIC GROUPS ADMIT ANOSOV REPRESENT ATIONS</w:t>
      </w:r>
      <w:bookmarkEnd w:id="1140"/>
    </w:p>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ff"/>
          <w:i w:val="off"/>
        </w:rPr>
        <w:t>https://arxiv.org/abs/2309.03695</w:t>
      </w:r>
      <w:bookmarkEnd w:id="1141"/>
    </w:p>
    <w:p>
      <w:pPr>
        <w:pageBreakBefore w:val="off"/>
        <w:tabs/>
        <w:wordWrap w:val="on"/>
        <w:spacing w:after="0" w:before="160"/>
        <w:ind w:left="0" w:right="0"/>
        <w:jc w:val="left"/>
        <w:textAlignment w:val="auto"/>
        <w:rPr>
          <w:sz w:val="24"/>
        </w:rPr>
      </w:pPr>
      <w:bookmarkStart w:id="1142" w:name=""/>
      <w:r>
        <w:rPr>
          <w:rFonts w:ascii="宋体" w:cs="宋体" w:eastAsia="宋体" w:hAnsi="宋体"/>
          <w:sz w:val="24"/>
          <w:spacing w:val="0"/>
          <w:b w:val="off"/>
          <w:i w:val="off"/>
        </w:rPr>
        <w:t>[24]VTAE: Variational Transformer Autoencoder with Manfolds Learning</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ff"/>
          <w:i w:val="off"/>
        </w:rPr>
        <w:t>https://arxiv.org/abs/2304.00948</w:t>
      </w:r>
      <w:bookmarkEnd w:id="1143"/>
    </w:p>
    <w:p>
      <w:pPr>
        <w:pageBreakBefore w:val="off"/>
        <w:tabs/>
        <w:wordWrap w:val="on"/>
        <w:spacing w:after="0" w:before="160"/>
        <w:ind w:left="0" w:right="0"/>
        <w:jc w:val="left"/>
        <w:textAlignment w:val="auto"/>
        <w:rPr>
          <w:sz w:val="24"/>
        </w:rPr>
      </w:pPr>
      <w:bookmarkStart w:id="1144" w:name=""/>
      <w:r>
        <w:rPr>
          <w:rFonts w:ascii="宋体" w:cs="宋体" w:eastAsia="宋体" w:hAnsi="宋体"/>
          <w:sz w:val="24"/>
          <w:spacing w:val="0"/>
          <w:b w:val="off"/>
          <w:i w:val="off"/>
        </w:rPr>
        <w:t>[25]A SIMPLE PROOF OF THE CROWELL-MURASUGI THEOREM</w:t>
      </w:r>
      <w:bookmarkEnd w:id="1144"/>
    </w:p>
    <w:p>
      <w:pPr>
        <w:pageBreakBefore w:val="off"/>
        <w:tabs/>
        <w:wordWrap w:val="on"/>
        <w:spacing w:after="0" w:before="160"/>
        <w:ind w:left="0" w:right="0"/>
        <w:jc w:val="left"/>
        <w:textAlignment w:val="auto"/>
        <w:rPr>
          <w:sz w:val="24"/>
        </w:rPr>
      </w:pPr>
      <w:bookmarkStart w:id="1145" w:name=""/>
      <w:r>
        <w:rPr>
          <w:rFonts w:ascii="宋体" w:cs="宋体" w:eastAsia="宋体" w:hAnsi="宋体"/>
          <w:sz w:val="24"/>
          <w:spacing w:val="0"/>
          <w:b w:val="off"/>
          <w:i w:val="off"/>
        </w:rPr>
        <w:t>https://arxiv.org/abs/2209.09850</w:t>
      </w:r>
      <w:bookmarkEnd w:id="1145"/>
    </w:p>
    <w:p>
      <w:pPr>
        <w:pageBreakBefore w:val="off"/>
        <w:tabs/>
        <w:wordWrap w:val="on"/>
        <w:spacing w:after="0" w:before="160"/>
        <w:ind w:left="0" w:right="0"/>
        <w:jc w:val="left"/>
        <w:textAlignment w:val="auto"/>
        <w:rPr>
          <w:sz w:val="24"/>
        </w:rPr>
      </w:pPr>
      <w:bookmarkStart w:id="1146" w:name=""/>
      <w:r>
        <w:rPr>
          <w:rFonts w:ascii="宋体" w:cs="宋体" w:eastAsia="宋体" w:hAnsi="宋体"/>
          <w:sz w:val="24"/>
          <w:spacing w:val="0"/>
          <w:b w:val="off"/>
          <w:i w:val="off"/>
        </w:rPr>
        <w:t>[26]Geodesic intersections</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ff"/>
          <w:i w:val="off"/>
        </w:rPr>
        <w:t>https://arxiv.org/abs/2308.00495</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ff"/>
          <w:i w:val="off"/>
        </w:rPr>
        <w:t>[27]Foundations</w:t>
      </w:r>
      <w:bookmarkEnd w:id="1148"/>
    </w:p>
    <w:p>
      <w:pPr>
        <w:pageBreakBefore w:val="off"/>
        <w:tabs/>
        <w:wordWrap w:val="on"/>
        <w:spacing w:after="0" w:before="160"/>
        <w:ind w:left="0" w:right="0"/>
        <w:jc w:val="left"/>
        <w:textAlignment w:val="auto"/>
        <w:rPr>
          <w:sz w:val="24"/>
        </w:rPr>
      </w:pPr>
      <w:bookmarkStart w:id="1149" w:name=""/>
      <w:r>
        <w:rPr>
          <w:rFonts w:ascii="宋体" w:cs="宋体" w:eastAsia="宋体" w:hAnsi="宋体"/>
          <w:sz w:val="24"/>
          <w:spacing w:val="0"/>
          <w:b w:val="off"/>
          <w:i w:val="off"/>
        </w:rPr>
        <w:t>https://people.clas.ufl.edu/cenzer/files/FoundationsBook.pdf</w:t>
      </w:r>
      <w:bookmarkEnd w:id="1149"/>
    </w:p>
    <w:p>
      <w:pPr>
        <w:pageBreakBefore w:val="off"/>
        <w:tabs/>
        <w:wordWrap w:val="on"/>
        <w:spacing w:after="0" w:before="160"/>
        <w:ind w:left="0" w:right="0"/>
        <w:jc w:val="left"/>
        <w:textAlignment w:val="auto"/>
        <w:rPr>
          <w:sz w:val="24"/>
        </w:rPr>
      </w:pPr>
      <w:bookmarkStart w:id="1150" w:name=""/>
      <w:r>
        <w:rPr>
          <w:rFonts w:ascii="宋体" w:cs="宋体" w:eastAsia="宋体" w:hAnsi="宋体"/>
          <w:sz w:val="24"/>
          <w:spacing w:val="0"/>
          <w:b w:val="off"/>
          <w:i w:val="off"/>
        </w:rPr>
        <w:t>[28]Elaboration in Dependent Type Theory</w:t>
      </w:r>
      <w:bookmarkEnd w:id="1150"/>
    </w:p>
    <w:p>
      <w:pPr>
        <w:pageBreakBefore w:val="off"/>
        <w:tabs/>
        <w:wordWrap w:val="on"/>
        <w:spacing w:after="0" w:before="160"/>
        <w:ind w:left="0" w:right="0"/>
        <w:jc w:val="left"/>
        <w:textAlignment w:val="auto"/>
        <w:rPr>
          <w:sz w:val="24"/>
        </w:rPr>
      </w:pPr>
      <w:bookmarkStart w:id="1151" w:name=""/>
      <w:r>
        <w:rPr>
          <w:rFonts w:ascii="宋体" w:cs="宋体" w:eastAsia="宋体" w:hAnsi="宋体"/>
          <w:sz w:val="24"/>
          <w:spacing w:val="0"/>
          <w:b w:val="off"/>
          <w:i w:val="off"/>
        </w:rPr>
        <w:t>https://arxiv.org/abs/1505.04324</w:t>
      </w:r>
      <w:bookmarkEnd w:id="1151"/>
    </w:p>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ff"/>
          <w:i w:val="off"/>
        </w:rPr>
        <w:t>[29]Synthetic Differential Geometry within Homotry Type Theory I</w:t>
      </w:r>
      <w:bookmarkEnd w:id="1152"/>
    </w:p>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ff"/>
          <w:i w:val="off"/>
        </w:rPr>
        <w:t>https://arxiv.org/abs/1606.06540</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ff"/>
          <w:i w:val="off"/>
        </w:rPr>
        <w:t>[30]The Directed Van Kampen Theor in Lean</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ff"/>
          <w:i w:val="off"/>
        </w:rPr>
        <w:t>https://arxiv.org/abs/2312.06506</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ff"/>
          <w:i w:val="off"/>
        </w:rPr>
        <w:t>[31]ON THE COLLAPSING OF CALABI-YAUCR-FLAT KHALED-RICCI FLOW</w:t>
      </w:r>
      <w:bookmarkEnd w:id="1156"/>
    </w:p>
    <w:p>
      <w:pPr>
        <w:pageBreakBefore w:val="off"/>
        <w:tabs/>
        <w:wordWrap w:val="on"/>
        <w:spacing w:after="0" w:before="160"/>
        <w:ind w:left="0" w:right="0"/>
        <w:jc w:val="left"/>
        <w:textAlignment w:val="auto"/>
        <w:rPr>
          <w:sz w:val="24"/>
        </w:rPr>
      </w:pPr>
      <w:bookmarkStart w:id="1157" w:name=""/>
      <w:r>
        <w:rPr>
          <w:rFonts w:ascii="宋体" w:cs="宋体" w:eastAsia="宋体" w:hAnsi="宋体"/>
          <w:sz w:val="24"/>
          <w:spacing w:val="0"/>
          <w:b w:val="off"/>
          <w:i w:val="off"/>
        </w:rPr>
        <w:t>https://arxiv.org/abs/2107.00836</w:t>
      </w:r>
      <w:bookmarkEnd w:id="1157"/>
    </w:p>
    <w:p>
      <w:pPr>
        <w:pageBreakBefore w:val="off"/>
        <w:tabs/>
        <w:wordWrap w:val="on"/>
        <w:spacing w:after="0" w:before="160"/>
        <w:ind w:left="0" w:right="0"/>
        <w:jc w:val="left"/>
        <w:textAlignment w:val="auto"/>
        <w:rPr>
          <w:sz w:val="24"/>
        </w:rPr>
      </w:pPr>
      <w:bookmarkStart w:id="1158" w:name=""/>
      <w:r>
        <w:rPr>
          <w:rFonts w:ascii="宋体" w:cs="宋体" w:eastAsia="宋体" w:hAnsi="宋体"/>
          <w:sz w:val="24"/>
          <w:spacing w:val="0"/>
          <w:b w:val="off"/>
          <w:i w:val="off"/>
        </w:rPr>
        <w:t>[32]Two-sided Cartesian fibrations of synthetic (xx.1)-Categories</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ff"/>
          <w:i w:val="off"/>
        </w:rPr>
        <w:t>https://arxiv.org/abs/2204.00938</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ff"/>
          <w:i w:val="off"/>
        </w:rPr>
        <w:t>[33]Homotopy Type Theory in Lean</w:t>
      </w:r>
      <w:bookmarkEnd w:id="1160"/>
    </w:p>
    <w:p>
      <w:pPr>
        <w:pageBreakBefore w:val="off"/>
        <w:tabs/>
        <w:wordWrap w:val="on"/>
        <w:spacing w:after="0" w:before="160"/>
        <w:ind w:left="0" w:right="0"/>
        <w:jc w:val="left"/>
        <w:textAlignment w:val="auto"/>
        <w:rPr>
          <w:sz w:val="24"/>
        </w:rPr>
      </w:pPr>
      <w:bookmarkStart w:id="1161" w:name=""/>
      <w:r>
        <w:rPr>
          <w:rFonts w:ascii="宋体" w:cs="宋体" w:eastAsia="宋体" w:hAnsi="宋体"/>
          <w:sz w:val="24"/>
          <w:spacing w:val="0"/>
          <w:b w:val="off"/>
          <w:i w:val="off"/>
        </w:rPr>
        <w:t>https://arxiv.org/abs/1704.06781</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ff"/>
          <w:i w:val="off"/>
        </w:rPr>
        <w:t>[34]A GEOMETRIC APPLICATION OF SOLITON SURFACE ASSOCIATION WITH THE BETCHOV-DA RIOS EQUATION USING AN EXTENDED DARBOUX FRAME FIELD IN E</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ff"/>
          <w:i w:val="off"/>
        </w:rPr>
        <w:t>https://arxiv.org/abs/2406.05139</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ff"/>
          <w:i w:val="off"/>
        </w:rPr>
        <w:t>[35]PROOF ARTIFACT Co-training for Theorem Proving with Language Models</w:t>
      </w:r>
      <w:bookmarkEnd w:id="1164"/>
    </w:p>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ff"/>
          <w:i w:val="off"/>
        </w:rPr>
        <w:t>https://arxiv.org/abs/2102.06203</w:t>
      </w:r>
      <w:bookmarkEnd w:id="1165"/>
    </w:p>
    <w:p>
      <w:pPr>
        <w:pageBreakBefore w:val="off"/>
        <w:tabs/>
        <w:wordWrap w:val="on"/>
        <w:spacing w:after="0" w:before="160"/>
        <w:ind w:left="0" w:right="0"/>
        <w:jc w:val="left"/>
        <w:textAlignment w:val="auto"/>
        <w:rPr>
          <w:sz w:val="24"/>
        </w:rPr>
      </w:pPr>
      <w:bookmarkStart w:id="1166" w:name=""/>
      <w:r>
        <w:rPr>
          <w:rFonts w:ascii="宋体" w:cs="宋体" w:eastAsia="宋体" w:hAnsi="宋体"/>
          <w:sz w:val="24"/>
          <w:spacing w:val="0"/>
          <w:b w:val="off"/>
          <w:i w:val="off"/>
        </w:rPr>
        <w:t>[36]On the Reinhardt conjecture and Formal Foundations of Optimal Control</w:t>
      </w:r>
      <w:bookmarkEnd w:id="1166"/>
    </w:p>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ff"/>
          <w:i w:val="off"/>
        </w:rPr>
        <w:t>https://arxiv.org/abs/2208.04443</w:t>
      </w:r>
      <w:bookmarkEnd w:id="1167"/>
    </w:p>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ff"/>
          <w:i w:val="off"/>
        </w:rPr>
        <w:t>[37]Tight Analysis of Extra-gradient and Optimistic Problems For Nonconvex Minimization Problems</w:t>
      </w:r>
      <w:bookmarkEnd w:id="1168"/>
    </w:p>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ff"/>
          <w:i w:val="off"/>
        </w:rPr>
        <w:t>https://arxiv.org/abs/2210.09382</w:t>
      </w:r>
      <w:bookmarkEnd w:id="1169"/>
    </w:p>
    <w:p>
      <w:pPr>
        <w:pageBreakBefore w:val="off"/>
        <w:tabs/>
        <w:wordWrap w:val="on"/>
        <w:spacing w:after="0" w:before="160"/>
        <w:ind w:left="0" w:right="0"/>
        <w:jc w:val="left"/>
        <w:textAlignment w:val="auto"/>
        <w:rPr>
          <w:sz w:val="24"/>
        </w:rPr>
      </w:pPr>
      <w:bookmarkStart w:id="1170" w:name=""/>
      <w:r>
        <w:rPr>
          <w:rFonts w:ascii="宋体" w:cs="宋体" w:eastAsia="宋体" w:hAnsi="宋体"/>
          <w:sz w:val="24"/>
          <w:spacing w:val="0"/>
          <w:b w:val="off"/>
          <w:i w:val="off"/>
        </w:rPr>
        <w:t>[38]Bridging Syntax and Semantics of Lean Expressions in E-Graphs</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ff"/>
          <w:i w:val="off"/>
        </w:rPr>
        <w:t>https://arxiv.org/abs/2405.10188</w:t>
      </w:r>
      <w:bookmarkEnd w:id="1171"/>
    </w:p>
    <w:p>
      <w:pPr>
        <w:pageBreakBefore w:val="off"/>
        <w:tabs/>
        <w:wordWrap w:val="on"/>
        <w:spacing w:after="0" w:before="160"/>
        <w:ind w:left="0" w:right="0"/>
        <w:jc w:val="left"/>
        <w:textAlignment w:val="auto"/>
        <w:rPr>
          <w:sz w:val="24"/>
        </w:rPr>
      </w:pPr>
      <w:bookmarkStart w:id="1172" w:name=""/>
      <w:r>
        <w:rPr>
          <w:rFonts w:ascii="宋体" w:cs="宋体" w:eastAsia="宋体" w:hAnsi="宋体"/>
          <w:sz w:val="24"/>
          <w:spacing w:val="0"/>
          <w:b w:val="off"/>
          <w:i w:val="off"/>
        </w:rPr>
        <w:t>[39]Localization and Duality for AB姜 Latitude Wilson Loops</w:t>
      </w:r>
      <w:bookmarkEnd w:id="1172"/>
    </w:p>
    <w:p>
      <w:pPr>
        <w:pageBreakBefore w:val="off"/>
        <w:tabs/>
        <w:wordWrap w:val="on"/>
        <w:spacing w:after="0" w:before="160"/>
        <w:ind w:left="0" w:right="0"/>
        <w:jc w:val="left"/>
        <w:textAlignment w:val="auto"/>
        <w:rPr>
          <w:sz w:val="24"/>
        </w:rPr>
      </w:pPr>
      <w:bookmarkStart w:id="1173" w:name=""/>
      <w:r>
        <w:rPr>
          <w:rFonts w:ascii="宋体" w:cs="宋体" w:eastAsia="宋体" w:hAnsi="宋体"/>
          <w:sz w:val="24"/>
          <w:spacing w:val="0"/>
          <w:b w:val="off"/>
          <w:i w:val="off"/>
        </w:rPr>
        <w:t>https://arxiv.org/abs/2104.04533</w:t>
      </w:r>
      <w:bookmarkEnd w:id="1173"/>
    </w:p>
    <w:p>
      <w:pPr>
        <w:pageBreakBefore w:val="off"/>
        <w:tabs/>
        <w:wordWrap w:val="on"/>
        <w:spacing w:after="0" w:before="160"/>
        <w:ind w:left="0" w:right="0"/>
        <w:jc w:val="left"/>
        <w:textAlignment w:val="auto"/>
        <w:rPr>
          <w:sz w:val="24"/>
        </w:rPr>
      </w:pPr>
      <w:bookmarkStart w:id="1174" w:name=""/>
      <w:r>
        <w:rPr>
          <w:rFonts w:ascii="宋体" w:cs="宋体" w:eastAsia="宋体" w:hAnsi="宋体"/>
          <w:sz w:val="24"/>
          <w:spacing w:val="0"/>
          <w:b w:val="off"/>
          <w:i w:val="off"/>
        </w:rPr>
        <w:t>[40]REVISITING MIXED GEOMETRY</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ff"/>
          <w:i w:val="off"/>
        </w:rPr>
        <w:t>https://arxiv.org/abs/2202.04833</w:t>
      </w:r>
      <w:bookmarkEnd w:id="1175"/>
    </w:p>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ff"/>
          <w:i w:val="off"/>
        </w:rPr>
        <w:t>[41]COULD ∞-CATEGORY THEORY BE TAUGHT TO UNDERGRADUCATIONS?</w:t>
      </w:r>
      <w:bookmarkEnd w:id="1176"/>
    </w:p>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ff"/>
          <w:i w:val="off"/>
        </w:rPr>
        <w:t>https://arxiv.org/abs/2302.07855</w:t>
      </w:r>
      <w:bookmarkEnd w:id="1177"/>
    </w:p>
    <w:p>
      <w:pPr>
        <w:pageBreakBefore w:val="off"/>
        <w:tabs/>
        <w:wordWrap w:val="on"/>
        <w:spacing w:after="0" w:before="160"/>
        <w:ind w:left="0" w:right="0"/>
        <w:jc w:val="left"/>
        <w:textAlignment w:val="auto"/>
        <w:rPr>
          <w:sz w:val="24"/>
        </w:rPr>
      </w:pPr>
      <w:bookmarkStart w:id="1178" w:name=""/>
      <w:r>
        <w:rPr>
          <w:rFonts w:ascii="宋体" w:cs="宋体" w:eastAsia="宋体" w:hAnsi="宋体"/>
          <w:sz w:val="24"/>
          <w:spacing w:val="0"/>
          <w:b w:val="off"/>
          <w:i w:val="off"/>
        </w:rPr>
        <w:t>[42]Axioms FOR MODELLING CUBICAL TYPE THEORY IN A TOPOS</w:t>
      </w:r>
      <w:bookmarkEnd w:id="1178"/>
    </w:p>
    <w:p>
      <w:pPr>
        <w:pageBreakBefore w:val="off"/>
        <w:tabs/>
        <w:wordWrap w:val="on"/>
        <w:spacing w:after="0" w:before="160"/>
        <w:ind w:left="0" w:right="0"/>
        <w:jc w:val="left"/>
        <w:textAlignment w:val="auto"/>
        <w:rPr>
          <w:sz w:val="24"/>
        </w:rPr>
      </w:pPr>
      <w:bookmarkStart w:id="1179" w:name=""/>
      <w:r>
        <w:rPr>
          <w:rFonts w:ascii="宋体" w:cs="宋体" w:eastAsia="宋体" w:hAnsi="宋体"/>
          <w:sz w:val="24"/>
          <w:spacing w:val="0"/>
          <w:b w:val="off"/>
          <w:i w:val="off"/>
        </w:rPr>
        <w:t>https://arxiv.org/abs/1712.04864</w:t>
      </w:r>
      <w:bookmarkEnd w:id="1179"/>
    </w:p>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ff"/>
          <w:i w:val="off"/>
        </w:rPr>
        <w:t>[43]Greatest HITS: Higher induct types in coinductive definitions via induction under clocks</w:t>
      </w:r>
      <w:bookmarkEnd w:id="1180"/>
    </w:p>
    <w:p>
      <w:pPr>
        <w:pageBreakBefore w:val="off"/>
        <w:tabs/>
        <w:wordWrap w:val="on"/>
        <w:spacing w:after="0" w:before="160"/>
        <w:ind w:left="0" w:right="0"/>
        <w:jc w:val="left"/>
        <w:textAlignment w:val="auto"/>
        <w:rPr>
          <w:sz w:val="24"/>
        </w:rPr>
      </w:pPr>
      <w:bookmarkStart w:id="1181" w:name=""/>
      <w:r>
        <w:rPr>
          <w:rFonts w:ascii="宋体" w:cs="宋体" w:eastAsia="宋体" w:hAnsi="宋体"/>
          <w:sz w:val="24"/>
          <w:spacing w:val="0"/>
          <w:b w:val="off"/>
          <w:i w:val="off"/>
        </w:rPr>
        <w:t>https://arxiv.org/abs/2102.01969</w:t>
      </w:r>
      <w:bookmarkEnd w:id="1181"/>
    </w:p>
    <w:p>
      <w:pPr>
        <w:pageBreakBefore w:val="off"/>
        <w:tabs/>
        <w:wordWrap w:val="on"/>
        <w:spacing w:after="0" w:before="160"/>
        <w:ind w:left="0" w:right="0"/>
        <w:jc w:val="left"/>
        <w:textAlignment w:val="auto"/>
        <w:rPr>
          <w:sz w:val="24"/>
        </w:rPr>
      </w:pPr>
      <w:bookmarkStart w:id="1182" w:name=""/>
      <w:r>
        <w:rPr>
          <w:rFonts w:ascii="宋体" w:cs="宋体" w:eastAsia="宋体" w:hAnsi="宋体"/>
          <w:sz w:val="24"/>
          <w:spacing w:val="0"/>
          <w:b w:val="off"/>
          <w:i w:val="off"/>
        </w:rPr>
        <w:t>[44]A Rule-based Theorem Prover: an introduction to Proofs in Secondary Schools</w:t>
      </w:r>
      <w:bookmarkEnd w:id="1182"/>
    </w:p>
    <w:p>
      <w:pPr>
        <w:pageBreakBefore w:val="off"/>
        <w:tabs/>
        <w:wordWrap w:val="on"/>
        <w:spacing w:after="0" w:before="160"/>
        <w:ind w:left="0" w:right="0"/>
        <w:jc w:val="left"/>
        <w:textAlignment w:val="auto"/>
        <w:rPr>
          <w:sz w:val="24"/>
        </w:rPr>
      </w:pPr>
      <w:bookmarkStart w:id="1183" w:name=""/>
      <w:r>
        <w:rPr>
          <w:rFonts w:ascii="宋体" w:cs="宋体" w:eastAsia="宋体" w:hAnsi="宋体"/>
          <w:sz w:val="24"/>
          <w:spacing w:val="0"/>
          <w:b w:val="off"/>
          <w:i w:val="off"/>
        </w:rPr>
        <w:t>https://arxiv.org/abs/2303.05863</w:t>
      </w:r>
      <w:bookmarkEnd w:id="1183"/>
    </w:p>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ff"/>
          <w:i w:val="off"/>
        </w:rPr>
        <w:t>[45]On the Calculation of Fundamental Groups in Homotopy Type Theory by Means of Computational Paths</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ff"/>
          <w:i w:val="off"/>
        </w:rPr>
        <w:t>https://arxiv.org/abs/1804.01413</w:t>
      </w:r>
      <w:bookmarkEnd w:id="1185"/>
    </w:p>
    <w:p>
      <w:pPr>
        <w:pageBreakBefore w:val="off"/>
        <w:tabs/>
        <w:wordWrap w:val="on"/>
        <w:spacing w:after="0" w:before="160"/>
        <w:ind w:left="0" w:right="0"/>
        <w:jc w:val="left"/>
        <w:textAlignment w:val="auto"/>
        <w:rPr>
          <w:sz w:val="24"/>
        </w:rPr>
      </w:pPr>
      <w:bookmarkStart w:id="1186" w:name=""/>
      <w:r>
        <w:rPr>
          <w:rFonts w:ascii="宋体" w:cs="宋体" w:eastAsia="宋体" w:hAnsi="宋体"/>
          <w:sz w:val="24"/>
          <w:spacing w:val="0"/>
          <w:b w:val="off"/>
          <w:i w:val="off"/>
        </w:rPr>
        <w:t>[46]ON THE COHOMOLOGY OF MEASUBABLESETS</w:t>
      </w:r>
      <w:bookmarkEnd w:id="1186"/>
    </w:p>
    <w:p>
      <w:pPr>
        <w:pageBreakBefore w:val="off"/>
        <w:tabs/>
        <w:wordWrap w:val="on"/>
        <w:spacing w:after="0" w:before="160"/>
        <w:ind w:left="0" w:right="0"/>
        <w:jc w:val="left"/>
        <w:textAlignment w:val="auto"/>
        <w:rPr>
          <w:sz w:val="24"/>
        </w:rPr>
      </w:pPr>
      <w:bookmarkStart w:id="1187" w:name=""/>
      <w:r>
        <w:rPr>
          <w:rFonts w:ascii="宋体" w:cs="宋体" w:eastAsia="宋体" w:hAnsi="宋体"/>
          <w:sz w:val="24"/>
          <w:spacing w:val="0"/>
          <w:b w:val="off"/>
          <w:i w:val="off"/>
        </w:rPr>
        <w:t>https://arxiv.org/abs/2307.12476</w:t>
      </w:r>
      <w:bookmarkEnd w:id="1187"/>
    </w:p>
    <w:p>
      <w:pPr>
        <w:pageBreakBefore w:val="off"/>
        <w:tabs/>
        <w:wordWrap w:val="on"/>
        <w:spacing w:after="0" w:before="160"/>
        <w:ind w:left="0" w:right="0"/>
        <w:jc w:val="left"/>
        <w:textAlignment w:val="auto"/>
        <w:rPr>
          <w:sz w:val="24"/>
        </w:rPr>
      </w:pPr>
      <w:bookmarkStart w:id="1188" w:name=""/>
      <w:r>
        <w:rPr>
          <w:rFonts w:ascii="宋体" w:cs="宋体" w:eastAsia="宋体" w:hAnsi="宋体"/>
          <w:sz w:val="24"/>
          <w:spacing w:val="0"/>
          <w:b w:val="off"/>
          <w:i w:val="off"/>
        </w:rPr>
        <w:t>[47]Synthetic Homology in Homotopy Type Theory</w:t>
      </w:r>
      <w:bookmarkEnd w:id="1188"/>
    </w:p>
    <w:p>
      <w:pPr>
        <w:pageBreakBefore w:val="off"/>
        <w:tabs/>
        <w:wordWrap w:val="on"/>
        <w:spacing w:after="0" w:before="160"/>
        <w:ind w:left="0" w:right="0"/>
        <w:jc w:val="left"/>
        <w:textAlignment w:val="auto"/>
        <w:rPr>
          <w:sz w:val="24"/>
        </w:rPr>
      </w:pPr>
      <w:bookmarkStart w:id="1189" w:name=""/>
      <w:r>
        <w:rPr>
          <w:rFonts w:ascii="宋体" w:cs="宋体" w:eastAsia="宋体" w:hAnsi="宋体"/>
          <w:sz w:val="24"/>
          <w:spacing w:val="0"/>
          <w:b w:val="off"/>
          <w:i w:val="off"/>
        </w:rPr>
        <w:t>https://arxiv.org/abs/1706.01540</w:t>
      </w:r>
      <w:bookmarkEnd w:id="1189"/>
    </w:p>
    <w:p>
      <w:pPr>
        <w:pageBreakBefore w:val="off"/>
        <w:tabs/>
        <w:wordWrap w:val="on"/>
        <w:spacing w:after="0" w:before="160"/>
        <w:ind w:left="0" w:right="0"/>
        <w:jc w:val="left"/>
        <w:textAlignment w:val="auto"/>
        <w:rPr>
          <w:sz w:val="24"/>
        </w:rPr>
      </w:pPr>
      <w:bookmarkStart w:id="1190" w:name=""/>
      <w:r>
        <w:rPr>
          <w:rFonts w:ascii="宋体" w:cs="宋体" w:eastAsia="宋体" w:hAnsi="宋体"/>
          <w:sz w:val="24"/>
          <w:spacing w:val="0"/>
          <w:b w:val="off"/>
          <w:i w:val="off"/>
        </w:rPr>
        <w:t>[48]HIGHER STRUCTURES IN RATIONAL HOMOTOPY THEORY</w:t>
      </w:r>
      <w:bookmarkEnd w:id="1190"/>
    </w:p>
    <w:p>
      <w:pPr>
        <w:pageBreakBefore w:val="off"/>
        <w:tabs/>
        <w:wordWrap w:val="on"/>
        <w:spacing w:after="0" w:before="160"/>
        <w:ind w:left="0" w:right="0"/>
        <w:jc w:val="left"/>
        <w:textAlignment w:val="auto"/>
        <w:rPr>
          <w:sz w:val="24"/>
        </w:rPr>
      </w:pPr>
      <w:bookmarkStart w:id="1191" w:name=""/>
      <w:r>
        <w:rPr>
          <w:rFonts w:ascii="宋体" w:cs="宋体" w:eastAsia="宋体" w:hAnsi="宋体"/>
          <w:sz w:val="24"/>
          <w:spacing w:val="0"/>
          <w:b w:val="off"/>
          <w:i w:val="off"/>
        </w:rPr>
        <w:t>https://arxiv.org/abs/2310.11824</w:t>
      </w:r>
      <w:bookmarkEnd w:id="1191"/>
    </w:p>
    <w:p>
      <w:pPr>
        <w:pageBreakBefore w:val="off"/>
        <w:tabs/>
        <w:wordWrap w:val="on"/>
        <w:spacing w:after="0" w:before="160"/>
        <w:ind w:left="0" w:right="0"/>
        <w:jc w:val="left"/>
        <w:textAlignment w:val="auto"/>
        <w:rPr>
          <w:sz w:val="24"/>
        </w:rPr>
      </w:pPr>
      <w:bookmarkStart w:id="1192" w:name=""/>
      <w:r>
        <w:rPr>
          <w:rFonts w:ascii="宋体" w:cs="宋体" w:eastAsia="宋体" w:hAnsi="宋体"/>
          <w:sz w:val="24"/>
          <w:spacing w:val="0"/>
          <w:b w:val="off"/>
          <w:i w:val="off"/>
        </w:rPr>
        <w:t>[49]Naive cubical type theory</w:t>
      </w:r>
      <w:bookmarkEnd w:id="1192"/>
    </w:p>
    <w:p>
      <w:pPr>
        <w:pageBreakBefore w:val="off"/>
        <w:tabs/>
        <w:wordWrap w:val="on"/>
        <w:spacing w:after="0" w:before="160"/>
        <w:ind w:left="0" w:right="0"/>
        <w:jc w:val="left"/>
        <w:textAlignment w:val="auto"/>
        <w:rPr>
          <w:sz w:val="24"/>
        </w:rPr>
      </w:pPr>
      <w:bookmarkStart w:id="1193" w:name=""/>
      <w:r>
        <w:rPr>
          <w:rFonts w:ascii="宋体" w:cs="宋体" w:eastAsia="宋体" w:hAnsi="宋体"/>
          <w:sz w:val="24"/>
          <w:spacing w:val="0"/>
          <w:b w:val="off"/>
          <w:i w:val="off"/>
        </w:rPr>
        <w:t>https://arxiv.org/abs/1911.05844</w:t>
      </w:r>
      <w:bookmarkEnd w:id="1193"/>
    </w:p>
    <w:p>
      <w:pPr>
        <w:pageBreakBefore w:val="off"/>
        <w:tabs/>
        <w:wordWrap w:val="on"/>
        <w:spacing w:after="0" w:before="160"/>
        <w:ind w:left="0" w:right="0"/>
        <w:jc w:val="left"/>
        <w:textAlignment w:val="auto"/>
        <w:rPr>
          <w:sz w:val="24"/>
        </w:rPr>
      </w:pPr>
      <w:bookmarkStart w:id="1194" w:name=""/>
      <w:r>
        <w:rPr>
          <w:rFonts w:ascii="宋体" w:cs="宋体" w:eastAsia="宋体" w:hAnsi="宋体"/>
          <w:sz w:val="24"/>
          <w:spacing w:val="0"/>
          <w:b w:val="off"/>
          <w:i w:val="off"/>
        </w:rPr>
        <w:t>[50]Formalization of the fundamental group in untyped set theory using auto2</w:t>
      </w:r>
      <w:bookmarkEnd w:id="1194"/>
    </w:p>
    <w:p>
      <w:pPr>
        <w:pageBreakBefore w:val="off"/>
        <w:tabs/>
        <w:wordWrap w:val="on"/>
        <w:spacing w:after="0" w:before="160"/>
        <w:ind w:left="0" w:right="0"/>
        <w:jc w:val="left"/>
        <w:textAlignment w:val="auto"/>
        <w:rPr>
          <w:sz w:val="24"/>
        </w:rPr>
      </w:pPr>
      <w:bookmarkStart w:id="1195" w:name=""/>
      <w:r>
        <w:rPr>
          <w:rFonts w:ascii="宋体" w:cs="宋体" w:eastAsia="宋体" w:hAnsi="宋体"/>
          <w:sz w:val="24"/>
          <w:spacing w:val="0"/>
          <w:b w:val="off"/>
          <w:i w:val="off"/>
        </w:rPr>
        <w:t>https://arxiv.org/abs/1707.04757</w:t>
      </w:r>
      <w:bookmarkEnd w:id="1195"/>
    </w:p>
    <w:p>
      <w:pPr>
        <w:pageBreakBefore w:val="off"/>
        <w:tabs/>
        <w:wordWrap w:val="on"/>
        <w:spacing w:after="0" w:before="160"/>
        <w:ind w:left="0" w:right="0"/>
        <w:jc w:val="left"/>
        <w:textAlignment w:val="auto"/>
        <w:rPr>
          <w:sz w:val="24"/>
        </w:rPr>
      </w:pPr>
      <w:bookmarkStart w:id="1196" w:name=""/>
      <w:r>
        <w:rPr>
          <w:rFonts w:ascii="宋体" w:cs="宋体" w:eastAsia="宋体" w:hAnsi="宋体"/>
          <w:sz w:val="24"/>
          <w:spacing w:val="0"/>
          <w:b w:val="off"/>
          <w:i w:val="off"/>
        </w:rPr>
        <w:t>[51]HOMOTOPY COHERENT REPRESENT ATIONS</w:t>
      </w:r>
      <w:bookmarkEnd w:id="1196"/>
    </w:p>
    <w:p>
      <w:pPr>
        <w:pageBreakBefore w:val="off"/>
        <w:tabs/>
        <w:wordWrap w:val="on"/>
        <w:spacing w:after="0" w:before="160"/>
        <w:ind w:left="0" w:right="0"/>
        <w:jc w:val="left"/>
        <w:textAlignment w:val="auto"/>
        <w:rPr>
          <w:sz w:val="24"/>
        </w:rPr>
      </w:pPr>
      <w:bookmarkStart w:id="1197" w:name=""/>
      <w:r>
        <w:rPr>
          <w:rFonts w:ascii="宋体" w:cs="宋体" w:eastAsia="宋体" w:hAnsi="宋体"/>
          <w:sz w:val="24"/>
          <w:spacing w:val="0"/>
          <w:b w:val="off"/>
          <w:i w:val="off"/>
        </w:rPr>
        <w:t>https://arxiv.org/abs/2202.05322</w:t>
      </w:r>
      <w:bookmarkEnd w:id="1197"/>
    </w:p>
    <w:p>
      <w:pPr>
        <w:pageBreakBefore w:val="off"/>
        <w:tabs/>
        <w:wordWrap w:val="on"/>
        <w:spacing w:after="0" w:before="160"/>
        <w:ind w:left="0" w:right="0"/>
        <w:jc w:val="left"/>
        <w:textAlignment w:val="auto"/>
        <w:rPr>
          <w:sz w:val="24"/>
        </w:rPr>
      </w:pPr>
      <w:bookmarkStart w:id="1198" w:name=""/>
      <w:r>
        <w:rPr>
          <w:rFonts w:ascii="宋体" w:cs="宋体" w:eastAsia="宋体" w:hAnsi="宋体"/>
          <w:sz w:val="24"/>
          <w:spacing w:val="0"/>
          <w:b w:val="off"/>
          <w:i w:val="off"/>
        </w:rPr>
        <w:t>[52]Quotients of Bounded Natural Functors</w:t>
      </w:r>
      <w:bookmarkEnd w:id="1198"/>
    </w:p>
    <w:p>
      <w:pPr>
        <w:pageBreakBefore w:val="off"/>
        <w:tabs/>
        <w:wordWrap w:val="on"/>
        <w:spacing w:after="0" w:before="160"/>
        <w:ind w:left="0" w:right="0"/>
        <w:jc w:val="left"/>
        <w:textAlignment w:val="auto"/>
        <w:rPr>
          <w:sz w:val="24"/>
        </w:rPr>
      </w:pPr>
      <w:bookmarkStart w:id="1199" w:name=""/>
      <w:r>
        <w:rPr>
          <w:rFonts w:ascii="宋体" w:cs="宋体" w:eastAsia="宋体" w:hAnsi="宋体"/>
          <w:sz w:val="24"/>
          <w:spacing w:val="0"/>
          <w:b w:val="off"/>
          <w:i w:val="off"/>
        </w:rPr>
        <w:t>https://arxiv.org/abs/2104.05348</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ff"/>
          <w:i w:val="off"/>
        </w:rPr>
        <w:t>[53]Intrinsic geometry of collider events and nearest neighbour based weighted filtration</w:t>
      </w:r>
      <w:bookmarkEnd w:id="1200"/>
    </w:p>
    <w:p>
      <w:pPr>
        <w:pageBreakBefore w:val="off"/>
        <w:tabs/>
        <w:wordWrap w:val="on"/>
        <w:spacing w:after="0" w:before="160"/>
        <w:ind w:left="0" w:right="0"/>
        <w:jc w:val="left"/>
        <w:textAlignment w:val="auto"/>
        <w:rPr>
          <w:sz w:val="24"/>
        </w:rPr>
      </w:pPr>
      <w:bookmarkStart w:id="1201" w:name=""/>
      <w:r>
        <w:rPr>
          <w:rFonts w:ascii="宋体" w:cs="宋体" w:eastAsia="宋体" w:hAnsi="宋体"/>
          <w:sz w:val="24"/>
          <w:spacing w:val="0"/>
          <w:b w:val="off"/>
          <w:i w:val="off"/>
        </w:rPr>
        <w:t>https://arxiv.org/abs/2311.06610</w:t>
      </w:r>
      <w:bookmarkEnd w:id="1201"/>
    </w:p>
    <w:p>
      <w:pPr>
        <w:pageBreakBefore w:val="off"/>
        <w:tabs/>
        <w:wordWrap w:val="on"/>
        <w:spacing w:after="0" w:before="160"/>
        <w:ind w:left="0" w:right="0"/>
        <w:jc w:val="left"/>
        <w:textAlignment w:val="auto"/>
        <w:rPr>
          <w:sz w:val="24"/>
        </w:rPr>
      </w:pPr>
      <w:bookmarkStart w:id="1202" w:name=""/>
      <w:r>
        <w:rPr>
          <w:rFonts w:ascii="宋体" w:cs="宋体" w:eastAsia="宋体" w:hAnsi="宋体"/>
          <w:sz w:val="24"/>
          <w:spacing w:val="0"/>
          <w:b w:val="off"/>
          <w:i w:val="off"/>
        </w:rPr>
        <w:t>[54]ORTHOGONAL PROJECTIONS OF PLANARSETS IN COUNTABLE DIRECTIONS</w:t>
      </w:r>
      <w:bookmarkEnd w:id="1202"/>
    </w:p>
    <w:p>
      <w:pPr>
        <w:pageBreakBefore w:val="off"/>
        <w:tabs/>
        <w:wordWrap w:val="on"/>
        <w:spacing w:after="0" w:before="160"/>
        <w:ind w:left="0" w:right="0"/>
        <w:jc w:val="left"/>
        <w:textAlignment w:val="auto"/>
        <w:rPr>
          <w:sz w:val="24"/>
        </w:rPr>
      </w:pPr>
      <w:bookmarkStart w:id="1203" w:name=""/>
      <w:r>
        <w:rPr>
          <w:rFonts w:ascii="宋体" w:cs="宋体" w:eastAsia="宋体" w:hAnsi="宋体"/>
          <w:sz w:val="24"/>
          <w:spacing w:val="0"/>
          <w:b w:val="off"/>
          <w:i w:val="off"/>
        </w:rPr>
        <w:t>https://arxiv.org/abs/2210.12677</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ff"/>
          <w:i w:val="off"/>
        </w:rPr>
        <w:t>[55]Normalization for Cubical Type Theory</w:t>
      </w:r>
      <w:bookmarkEnd w:id="1204"/>
    </w:p>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ff"/>
          <w:i w:val="off"/>
        </w:rPr>
        <w:t>https://arxiv.org/abs/2101.11479</w:t>
      </w:r>
      <w:bookmarkEnd w:id="1205"/>
    </w:p>
    <w:p>
      <w:pPr>
        <w:pageBreakBefore w:val="off"/>
        <w:tabs/>
        <w:wordWrap w:val="on"/>
        <w:spacing w:after="0" w:before="160"/>
        <w:ind w:left="0" w:right="0"/>
        <w:jc w:val="left"/>
        <w:textAlignment w:val="auto"/>
        <w:rPr>
          <w:sz w:val="24"/>
        </w:rPr>
      </w:pPr>
      <w:bookmarkStart w:id="1206" w:name=""/>
      <w:r>
        <w:rPr>
          <w:rFonts w:ascii="宋体" w:cs="宋体" w:eastAsia="宋体" w:hAnsi="宋体"/>
          <w:sz w:val="24"/>
          <w:spacing w:val="0"/>
          <w:b w:val="off"/>
          <w:i w:val="off"/>
        </w:rPr>
        <w:t>[56]The Topological Behavior of Preferential Attachment Graphs</w:t>
      </w:r>
      <w:bookmarkEnd w:id="1206"/>
    </w:p>
    <w:p>
      <w:pPr>
        <w:pageBreakBefore w:val="off"/>
        <w:tabs/>
        <w:wordWrap w:val="on"/>
        <w:spacing w:after="0" w:before="160"/>
        <w:ind w:left="0" w:right="0"/>
        <w:jc w:val="left"/>
        <w:textAlignment w:val="auto"/>
        <w:rPr>
          <w:sz w:val="24"/>
        </w:rPr>
      </w:pPr>
      <w:bookmarkStart w:id="1207" w:name=""/>
      <w:r>
        <w:rPr>
          <w:rFonts w:ascii="宋体" w:cs="宋体" w:eastAsia="宋体" w:hAnsi="宋体"/>
          <w:sz w:val="24"/>
          <w:spacing w:val="0"/>
          <w:b w:val="off"/>
          <w:i w:val="off"/>
        </w:rPr>
        <w:t>https://arxiv.org/abs/2406.17619</w:t>
      </w:r>
      <w:bookmarkEnd w:id="1207"/>
    </w:p>
    <w:p>
      <w:pPr>
        <w:pageBreakBefore w:val="off"/>
        <w:tabs/>
        <w:wordWrap w:val="on"/>
        <w:spacing w:after="0" w:before="160"/>
        <w:ind w:left="0" w:right="0"/>
        <w:jc w:val="left"/>
        <w:textAlignment w:val="auto"/>
        <w:rPr>
          <w:sz w:val="24"/>
        </w:rPr>
      </w:pPr>
      <w:bookmarkStart w:id="1208" w:name=""/>
      <w:r>
        <w:rPr>
          <w:rFonts w:ascii="宋体" w:cs="宋体" w:eastAsia="宋体" w:hAnsi="宋体"/>
          <w:sz w:val="24"/>
          <w:spacing w:val="0"/>
          <w:b w:val="off"/>
          <w:i w:val="off"/>
        </w:rPr>
        <w:t>[57]LOWER BOUNDS ON THE HOMOLOGY OF HYERCUBE GRAPH</w:t>
      </w:r>
      <w:bookmarkEnd w:id="1208"/>
    </w:p>
    <w:p>
      <w:pPr>
        <w:pageBreakBefore w:val="off"/>
        <w:tabs/>
        <w:wordWrap w:val="on"/>
        <w:spacing w:after="0" w:before="160"/>
        <w:ind w:left="0" w:right="0"/>
        <w:jc w:val="left"/>
        <w:textAlignment w:val="auto"/>
        <w:rPr>
          <w:sz w:val="24"/>
        </w:rPr>
      </w:pPr>
      <w:bookmarkStart w:id="1209" w:name=""/>
      <w:r>
        <w:rPr>
          <w:rFonts w:ascii="宋体" w:cs="宋体" w:eastAsia="宋体" w:hAnsi="宋体"/>
          <w:sz w:val="24"/>
          <w:spacing w:val="0"/>
          <w:b w:val="off"/>
          <w:i w:val="off"/>
        </w:rPr>
        <w:t>https://arxiv.org/abs/2309.06222</w:t>
      </w:r>
      <w:bookmarkEnd w:id="1209"/>
    </w:p>
    <w:p>
      <w:pPr>
        <w:pageBreakBefore w:val="off"/>
        <w:tabs/>
        <w:wordWrap w:val="on"/>
        <w:spacing w:after="0" w:before="160"/>
        <w:ind w:left="0" w:right="0"/>
        <w:jc w:val="left"/>
        <w:textAlignment w:val="auto"/>
        <w:rPr>
          <w:sz w:val="24"/>
        </w:rPr>
      </w:pPr>
      <w:bookmarkStart w:id="1210" w:name=""/>
      <w:r>
        <w:rPr>
          <w:rFonts w:ascii="宋体" w:cs="宋体" w:eastAsia="宋体" w:hAnsi="宋体"/>
          <w:sz w:val="24"/>
          <w:spacing w:val="0"/>
          <w:b w:val="off"/>
          <w:i w:val="off"/>
        </w:rPr>
        <w:t>[58]Formalizing Category Theory in Agga</w:t>
      </w:r>
      <w:bookmarkEnd w:id="1210"/>
    </w:p>
    <w:p>
      <w:pPr>
        <w:pageBreakBefore w:val="off"/>
        <w:tabs/>
        <w:wordWrap w:val="on"/>
        <w:spacing w:after="0" w:before="160"/>
        <w:ind w:left="0" w:right="0"/>
        <w:jc w:val="left"/>
        <w:textAlignment w:val="auto"/>
        <w:rPr>
          <w:sz w:val="24"/>
        </w:rPr>
      </w:pPr>
      <w:bookmarkStart w:id="1211" w:name=""/>
      <w:r>
        <w:rPr>
          <w:rFonts w:ascii="宋体" w:cs="宋体" w:eastAsia="宋体" w:hAnsi="宋体"/>
          <w:sz w:val="24"/>
          <w:spacing w:val="0"/>
          <w:b w:val="off"/>
          <w:i w:val="off"/>
        </w:rPr>
        <w:t>https://arxiv.org/abs/2005.07059</w:t>
      </w:r>
      <w:bookmarkEnd w:id="1211"/>
    </w:p>
    <w:p>
      <w:pPr>
        <w:pageBreakBefore w:val="off"/>
        <w:tabs/>
        <w:wordWrap w:val="on"/>
        <w:spacing w:after="0" w:before="160"/>
        <w:ind w:left="0" w:right="0"/>
        <w:jc w:val="left"/>
        <w:textAlignment w:val="auto"/>
        <w:rPr>
          <w:sz w:val="24"/>
        </w:rPr>
      </w:pPr>
      <w:bookmarkStart w:id="1212" w:name=""/>
      <w:r>
        <w:rPr>
          <w:rFonts w:ascii="宋体" w:cs="宋体" w:eastAsia="宋体" w:hAnsi="宋体"/>
          <w:sz w:val="24"/>
          <w:spacing w:val="0"/>
          <w:b w:val="off"/>
          <w:i w:val="off"/>
        </w:rPr>
        <w:t>[59]Higher Groups in Homotopy Type Theory</w:t>
      </w:r>
      <w:bookmarkEnd w:id="1212"/>
    </w:p>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ff"/>
          <w:i w:val="off"/>
        </w:rPr>
        <w:t>https://arxiv.org/abs/1802.04315</w:t>
      </w:r>
      <w:bookmarkEnd w:id="1213"/>
    </w:p>
    <w:p>
      <w:pPr>
        <w:pageBreakBefore w:val="off"/>
        <w:tabs/>
        <w:wordWrap w:val="on"/>
        <w:spacing w:after="0" w:before="160"/>
        <w:ind w:left="0" w:right="0"/>
        <w:jc w:val="left"/>
        <w:textAlignment w:val="auto"/>
        <w:rPr>
          <w:sz w:val="24"/>
        </w:rPr>
      </w:pPr>
      <w:bookmarkStart w:id="1214" w:name=""/>
      <w:r>
        <w:rPr>
          <w:rFonts w:ascii="宋体" w:cs="宋体" w:eastAsia="宋体" w:hAnsi="宋体"/>
          <w:sz w:val="24"/>
          <w:spacing w:val="0"/>
          <w:b w:val="off"/>
          <w:i w:val="off"/>
        </w:rPr>
        <w:t>[60]Unifying Cubical and Multimodal Type theory</w:t>
      </w:r>
      <w:bookmarkEnd w:id="1214"/>
    </w:p>
    <w:p>
      <w:pPr>
        <w:pageBreakBefore w:val="off"/>
        <w:tabs/>
        <w:wordWrap w:val="on"/>
        <w:spacing w:after="0" w:before="160"/>
        <w:ind w:left="0" w:right="0"/>
        <w:jc w:val="left"/>
        <w:textAlignment w:val="auto"/>
        <w:rPr>
          <w:sz w:val="24"/>
        </w:rPr>
      </w:pPr>
      <w:bookmarkStart w:id="1215" w:name=""/>
      <w:r>
        <w:rPr>
          <w:rFonts w:ascii="宋体" w:cs="宋体" w:eastAsia="宋体" w:hAnsi="宋体"/>
          <w:sz w:val="24"/>
          <w:spacing w:val="0"/>
          <w:b w:val="off"/>
          <w:i w:val="off"/>
        </w:rPr>
        <w:t>https://arxiv.org/abs/2203.13000</w:t>
      </w:r>
      <w:bookmarkEnd w:id="1215"/>
    </w:p>
    <w:p>
      <w:pPr>
        <w:pageBreakBefore w:val="off"/>
        <w:tabs/>
        <w:wordWrap w:val="on"/>
        <w:spacing w:after="0" w:before="160"/>
        <w:ind w:left="0" w:right="0"/>
        <w:jc w:val="left"/>
        <w:textAlignment w:val="auto"/>
        <w:rPr>
          <w:sz w:val="24"/>
        </w:rPr>
      </w:pPr>
      <w:bookmarkStart w:id="1216" w:name=""/>
      <w:r>
        <w:rPr>
          <w:rFonts w:ascii="宋体" w:cs="宋体" w:eastAsia="宋体" w:hAnsi="宋体"/>
          <w:sz w:val="24"/>
          <w:spacing w:val="0"/>
          <w:b w:val="off"/>
          <w:i w:val="off"/>
        </w:rPr>
        <w:t>[61]HIGHER HOCHSCHILD HomOLOGY AND EXponential FUNCTERS</w:t>
      </w:r>
      <w:bookmarkEnd w:id="1216"/>
    </w:p>
    <w:p>
      <w:pPr>
        <w:pageBreakBefore w:val="off"/>
        <w:tabs/>
        <w:wordWrap w:val="on"/>
        <w:spacing w:after="0" w:before="160"/>
        <w:ind w:left="0" w:right="0"/>
        <w:jc w:val="left"/>
        <w:textAlignment w:val="auto"/>
        <w:rPr>
          <w:sz w:val="24"/>
        </w:rPr>
      </w:pPr>
      <w:bookmarkStart w:id="1217" w:name=""/>
      <w:r>
        <w:rPr>
          <w:rFonts w:ascii="宋体" w:cs="宋体" w:eastAsia="宋体" w:hAnsi="宋体"/>
          <w:sz w:val="24"/>
          <w:spacing w:val="0"/>
          <w:b w:val="off"/>
          <w:i w:val="off"/>
        </w:rPr>
        <w:t>https://arxiv.org/abs/1802.07574</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ff"/>
          <w:i w:val="off"/>
        </w:rPr>
        <w:t>[62]ROUND TWIN GROUPS ON FEW STRANDS</w:t>
      </w:r>
      <w:bookmarkEnd w:id="1218"/>
    </w:p>
    <w:p>
      <w:pPr>
        <w:pageBreakBefore w:val="off"/>
        <w:tabs/>
        <w:wordWrap w:val="on"/>
        <w:spacing w:after="0" w:before="160"/>
        <w:ind w:left="0" w:right="0"/>
        <w:jc w:val="left"/>
        <w:textAlignment w:val="auto"/>
        <w:rPr>
          <w:sz w:val="24"/>
        </w:rPr>
      </w:pPr>
      <w:bookmarkStart w:id="1219" w:name=""/>
      <w:r>
        <w:rPr>
          <w:rFonts w:ascii="宋体" w:cs="宋体" w:eastAsia="宋体" w:hAnsi="宋体"/>
          <w:sz w:val="24"/>
          <w:spacing w:val="0"/>
          <w:b w:val="off"/>
          <w:i w:val="off"/>
        </w:rPr>
        <w:t>https://arxiv.org/abs/2303.10737</w:t>
      </w:r>
      <w:bookmarkEnd w:id="1219"/>
    </w:p>
    <w:p>
      <w:pPr>
        <w:pageBreakBefore w:val="off"/>
        <w:tabs/>
        <w:wordWrap w:val="on"/>
        <w:spacing w:after="0" w:before="160"/>
        <w:ind w:left="0" w:right="0"/>
        <w:jc w:val="left"/>
        <w:textAlignment w:val="auto"/>
        <w:rPr>
          <w:sz w:val="24"/>
        </w:rPr>
      </w:pPr>
      <w:bookmarkStart w:id="1220" w:name=""/>
      <w:r>
        <w:rPr>
          <w:rFonts w:ascii="宋体" w:cs="宋体" w:eastAsia="宋体" w:hAnsi="宋体"/>
          <w:sz w:val="24"/>
          <w:spacing w:val="0"/>
          <w:b w:val="off"/>
          <w:i w:val="off"/>
        </w:rPr>
        <w:t>[63]Pinning, Diffusive Fluctuations, and Gaussian Limits FOR HALFSPACE DIRECTED POLYMER MODELS</w:t>
      </w:r>
      <w:bookmarkEnd w:id="1220"/>
    </w:p>
    <w:p>
      <w:pPr>
        <w:pageBreakBefore w:val="off"/>
        <w:tabs/>
        <w:wordWrap w:val="on"/>
        <w:spacing w:after="0" w:before="160"/>
        <w:ind w:left="0" w:right="0"/>
        <w:jc w:val="left"/>
        <w:textAlignment w:val="auto"/>
        <w:rPr>
          <w:sz w:val="24"/>
        </w:rPr>
      </w:pPr>
      <w:bookmarkStart w:id="1221" w:name=""/>
      <w:r>
        <w:rPr>
          <w:rFonts w:ascii="宋体" w:cs="宋体" w:eastAsia="宋体" w:hAnsi="宋体"/>
          <w:sz w:val="24"/>
          <w:spacing w:val="0"/>
          <w:b w:val="off"/>
          <w:i w:val="off"/>
        </w:rPr>
        <w:t>https://arxiv.org/abs/2312.11439</w:t>
      </w:r>
      <w:bookmarkEnd w:id="1221"/>
    </w:p>
    <w:p>
      <w:pPr>
        <w:pageBreakBefore w:val="off"/>
        <w:tabs/>
        <w:wordWrap w:val="on"/>
        <w:spacing w:after="0" w:before="160"/>
        <w:ind w:left="0" w:right="0"/>
        <w:jc w:val="left"/>
        <w:textAlignment w:val="auto"/>
        <w:rPr>
          <w:sz w:val="24"/>
        </w:rPr>
      </w:pPr>
      <w:bookmarkStart w:id="1222" w:name=""/>
      <w:r>
        <w:rPr>
          <w:rFonts w:ascii="宋体" w:cs="宋体" w:eastAsia="宋体" w:hAnsi="宋体"/>
          <w:sz w:val="24"/>
          <w:spacing w:val="0"/>
          <w:b w:val="off"/>
          <w:i w:val="off"/>
        </w:rPr>
        <w:t>[64]AUTOMorphisms OF CUBIC SURFACE IN POSITIVE CHARACTER</w:t>
      </w:r>
      <w:bookmarkEnd w:id="1222"/>
    </w:p>
    <w:p>
      <w:pPr>
        <w:pageBreakBefore w:val="off"/>
        <w:tabs/>
        <w:wordWrap w:val="on"/>
        <w:spacing w:after="0" w:before="160"/>
        <w:ind w:left="0" w:right="0"/>
        <w:jc w:val="left"/>
        <w:textAlignment w:val="auto"/>
        <w:rPr>
          <w:sz w:val="24"/>
        </w:rPr>
      </w:pPr>
      <w:bookmarkStart w:id="1223" w:name=""/>
      <w:r>
        <w:rPr>
          <w:rFonts w:ascii="宋体" w:cs="宋体" w:eastAsia="宋体" w:hAnsi="宋体"/>
          <w:sz w:val="24"/>
          <w:spacing w:val="0"/>
          <w:b w:val="off"/>
          <w:i w:val="off"/>
        </w:rPr>
        <w:t>https://arxiv.org/abs/1712.01167</w:t>
      </w:r>
      <w:bookmarkEnd w:id="1223"/>
    </w:p>
    <w:p>
      <w:pPr>
        <w:pageBreakBefore w:val="off"/>
        <w:tabs/>
        <w:wordWrap w:val="on"/>
        <w:spacing w:after="0" w:before="160"/>
        <w:ind w:left="0" w:right="0"/>
        <w:jc w:val="left"/>
        <w:textAlignment w:val="auto"/>
        <w:rPr>
          <w:sz w:val="24"/>
        </w:rPr>
      </w:pPr>
      <w:bookmarkStart w:id="1224" w:name=""/>
      <w:r>
        <w:rPr>
          <w:rFonts w:ascii="宋体" w:cs="宋体" w:eastAsia="宋体" w:hAnsi="宋体"/>
          <w:sz w:val="24"/>
          <w:spacing w:val="0"/>
          <w:b w:val="off"/>
          <w:i w:val="off"/>
        </w:rPr>
        <w:t>[65]QUot-Scheme LIMIT OF FUBINI-STUDIES METRICS AND DONALDSON's FUNCTIONAL FOR BUNDLES</w:t>
      </w:r>
      <w:bookmarkEnd w:id="1224"/>
    </w:p>
    <w:p>
      <w:pPr>
        <w:pageBreakBefore w:val="off"/>
        <w:tabs/>
        <w:wordWrap w:val="on"/>
        <w:spacing w:after="0" w:before="160"/>
        <w:ind w:left="0" w:right="0"/>
        <w:jc w:val="left"/>
        <w:textAlignment w:val="auto"/>
        <w:rPr>
          <w:sz w:val="24"/>
        </w:rPr>
      </w:pPr>
      <w:bookmarkStart w:id="1225" w:name=""/>
      <w:r>
        <w:rPr>
          <w:rFonts w:ascii="宋体" w:cs="宋体" w:eastAsia="宋体" w:hAnsi="宋体"/>
          <w:sz w:val="24"/>
          <w:spacing w:val="0"/>
          <w:b w:val="off"/>
          <w:i w:val="off"/>
        </w:rPr>
        <w:t>https://arxiv.org/abs/1809.08425</w:t>
      </w:r>
      <w:bookmarkEnd w:id="1225"/>
    </w:p>
    <w:p>
      <w:pPr>
        <w:pageBreakBefore w:val="off"/>
        <w:tabs/>
        <w:wordWrap w:val="on"/>
        <w:spacing w:after="0" w:before="160"/>
        <w:ind w:left="0" w:right="0"/>
        <w:jc w:val="left"/>
        <w:textAlignment w:val="auto"/>
        <w:rPr>
          <w:sz w:val="24"/>
        </w:rPr>
      </w:pPr>
      <w:bookmarkStart w:id="1226" w:name=""/>
      <w:r>
        <w:rPr>
          <w:rFonts w:ascii="宋体" w:cs="宋体" w:eastAsia="宋体" w:hAnsi="宋体"/>
          <w:sz w:val="24"/>
          <w:spacing w:val="0"/>
          <w:b w:val="off"/>
          <w:i w:val="off"/>
        </w:rPr>
        <w:t>[66]Eckardt Points ON A CUBIC THREEDFOLD</w:t>
      </w:r>
      <w:bookmarkEnd w:id="1226"/>
    </w:p>
    <w:p>
      <w:pPr>
        <w:pageBreakBefore w:val="off"/>
        <w:tabs/>
        <w:wordWrap w:val="on"/>
        <w:spacing w:after="0" w:before="160"/>
        <w:ind w:left="0" w:right="0"/>
        <w:jc w:val="left"/>
        <w:textAlignment w:val="auto"/>
        <w:rPr>
          <w:sz w:val="24"/>
        </w:rPr>
      </w:pPr>
      <w:bookmarkStart w:id="1227" w:name=""/>
      <w:r>
        <w:rPr>
          <w:rFonts w:ascii="宋体" w:cs="宋体" w:eastAsia="宋体" w:hAnsi="宋体"/>
          <w:sz w:val="24"/>
          <w:spacing w:val="0"/>
          <w:b w:val="off"/>
          <w:i w:val="off"/>
        </w:rPr>
        <w:t>https://arxiv.org/abs/2309.08124</w:t>
      </w:r>
      <w:bookmarkEnd w:id="1227"/>
    </w:p>
    <w:p>
      <w:pPr>
        <w:pageBreakBefore w:val="off"/>
        <w:tabs/>
        <w:wordWrap w:val="on"/>
        <w:spacing w:after="0" w:before="160"/>
        <w:ind w:left="0" w:right="0"/>
        <w:jc w:val="left"/>
        <w:textAlignment w:val="auto"/>
        <w:rPr>
          <w:sz w:val="24"/>
        </w:rPr>
      </w:pPr>
      <w:bookmarkStart w:id="1228" w:name=""/>
      <w:r>
        <w:rPr>
          <w:rFonts w:ascii="宋体" w:cs="宋体" w:eastAsia="宋体" w:hAnsi="宋体"/>
          <w:sz w:val="24"/>
          <w:spacing w:val="0"/>
          <w:b w:val="off"/>
          <w:i w:val="off"/>
        </w:rPr>
        <w:t>[67]Zeta Functions for Spherical Tits Buildings of Finite General Linear Groups</w:t>
      </w:r>
      <w:bookmarkEnd w:id="1228"/>
    </w:p>
    <w:p>
      <w:pPr>
        <w:pageBreakBefore w:val="off"/>
        <w:tabs/>
        <w:wordWrap w:val="on"/>
        <w:spacing w:after="0" w:before="160"/>
        <w:ind w:left="0" w:right="0"/>
        <w:jc w:val="left"/>
        <w:textAlignment w:val="auto"/>
        <w:rPr>
          <w:sz w:val="24"/>
        </w:rPr>
      </w:pPr>
      <w:bookmarkStart w:id="1229" w:name=""/>
      <w:r>
        <w:rPr>
          <w:rFonts w:ascii="宋体" w:cs="宋体" w:eastAsia="宋体" w:hAnsi="宋体"/>
          <w:sz w:val="24"/>
          <w:spacing w:val="0"/>
          <w:b w:val="off"/>
          <w:i w:val="off"/>
        </w:rPr>
        <w:t>https://arxiv.org/abs/2311.17809</w:t>
      </w:r>
      <w:bookmarkEnd w:id="1229"/>
    </w:p>
    <w:p>
      <w:pPr>
        <w:pageBreakBefore w:val="off"/>
        <w:tabs/>
        <w:wordWrap w:val="on"/>
        <w:spacing w:after="0" w:before="160"/>
        <w:ind w:left="0" w:right="0"/>
        <w:jc w:val="left"/>
        <w:textAlignment w:val="auto"/>
        <w:rPr>
          <w:sz w:val="24"/>
        </w:rPr>
      </w:pPr>
      <w:bookmarkStart w:id="1230" w:name=""/>
      <w:r>
        <w:rPr>
          <w:rFonts w:ascii="宋体" w:cs="宋体" w:eastAsia="宋体" w:hAnsi="宋体"/>
          <w:sz w:val="24"/>
          <w:spacing w:val="0"/>
          <w:b w:val="off"/>
          <w:i w:val="off"/>
        </w:rPr>
        <w:t>[68]Gravitational signatures of a non-commutative stable black hole</w:t>
      </w:r>
      <w:bookmarkEnd w:id="1230"/>
    </w:p>
    <w:p>
      <w:pPr>
        <w:pageBreakBefore w:val="off"/>
        <w:tabs/>
        <w:wordWrap w:val="on"/>
        <w:spacing w:after="0" w:before="160"/>
        <w:ind w:left="0" w:right="0"/>
        <w:jc w:val="left"/>
        <w:textAlignment w:val="auto"/>
        <w:rPr>
          <w:sz w:val="24"/>
        </w:rPr>
      </w:pPr>
      <w:bookmarkStart w:id="1231" w:name=""/>
      <w:r>
        <w:rPr>
          <w:rFonts w:ascii="宋体" w:cs="宋体" w:eastAsia="宋体" w:hAnsi="宋体"/>
          <w:sz w:val="24"/>
          <w:spacing w:val="0"/>
          <w:b w:val="off"/>
          <w:i w:val="off"/>
        </w:rPr>
        <w:t>https://arxiv.org/abs/2305.06838</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ff"/>
          <w:i w:val="off"/>
        </w:rPr>
        <w:t>[69]ON Fuglede's FLUX EXTENSIONS AND THE POINTWISE DEFINITION OF LINAR PENTATIONAL DIFFERENTIAL OPERATORS</w:t>
      </w:r>
      <w:bookmarkEnd w:id="1232"/>
    </w:p>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ff"/>
          <w:i w:val="off"/>
        </w:rPr>
        <w:t>https://arxiv.org/abs/2401.15974</w:t>
      </w:r>
      <w:bookmarkEnd w:id="1233"/>
    </w:p>
    <w:p>
      <w:pPr>
        <w:pageBreakBefore w:val="off"/>
        <w:tabs/>
        <w:wordWrap w:val="on"/>
        <w:spacing w:after="0" w:before="160"/>
        <w:ind w:left="0" w:right="0"/>
        <w:jc w:val="left"/>
        <w:textAlignment w:val="auto"/>
        <w:rPr>
          <w:sz w:val="24"/>
        </w:rPr>
      </w:pPr>
      <w:bookmarkStart w:id="1234" w:name=""/>
      <w:r>
        <w:rPr>
          <w:rFonts w:ascii="宋体" w:cs="宋体" w:eastAsia="宋体" w:hAnsi="宋体"/>
          <w:sz w:val="24"/>
          <w:spacing w:val="0"/>
          <w:b w:val="off"/>
          <w:i w:val="off"/>
        </w:rPr>
        <w:t>[70]Obstacles from interstellar matters and distortion in warp drive superluminal travel scenario</w:t>
      </w:r>
      <w:bookmarkEnd w:id="1234"/>
    </w:p>
    <w:p>
      <w:pPr>
        <w:pageBreakBefore w:val="off"/>
        <w:tabs/>
        <w:wordWrap w:val="on"/>
        <w:spacing w:after="0" w:before="160"/>
        <w:ind w:left="0" w:right="0"/>
        <w:jc w:val="left"/>
        <w:textAlignment w:val="auto"/>
        <w:rPr>
          <w:sz w:val="24"/>
        </w:rPr>
      </w:pPr>
      <w:bookmarkStart w:id="1235" w:name=""/>
      <w:r>
        <w:rPr>
          <w:rFonts w:ascii="宋体" w:cs="宋体" w:eastAsia="宋体" w:hAnsi="宋体"/>
          <w:sz w:val="24"/>
          <w:spacing w:val="0"/>
          <w:b w:val="off"/>
          <w:i w:val="off"/>
        </w:rPr>
        <w:t>https://arxiv.org/abs/2201.06371</w:t>
      </w:r>
      <w:bookmarkEnd w:id="1235"/>
    </w:p>
    <w:p>
      <w:pPr>
        <w:pageBreakBefore w:val="off"/>
        <w:tabs/>
        <w:wordWrap w:val="on"/>
        <w:spacing w:after="0" w:before="160"/>
        <w:ind w:left="0" w:right="0"/>
        <w:jc w:val="left"/>
        <w:textAlignment w:val="auto"/>
        <w:rPr>
          <w:sz w:val="24"/>
        </w:rPr>
      </w:pPr>
      <w:bookmarkStart w:id="1236" w:name=""/>
      <w:r>
        <w:rPr>
          <w:rFonts w:ascii="宋体" w:cs="宋体" w:eastAsia="宋体" w:hAnsi="宋体"/>
          <w:sz w:val="24"/>
          <w:spacing w:val="0"/>
          <w:b w:val="off"/>
          <w:i w:val="off"/>
        </w:rPr>
        <w:t>[71]CUBICAL ACCESSIBILITY AND BOUNCUBERS</w:t>
      </w:r>
      <w:bookmarkEnd w:id="1236"/>
    </w:p>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ff"/>
          <w:i w:val="off"/>
        </w:rPr>
        <w:t>https://arxiv.org/abs/1701.01313</w:t>
      </w:r>
      <w:bookmarkEnd w:id="1237"/>
    </w:p>
    <w:p>
      <w:pPr>
        <w:pageBreakBefore w:val="off"/>
        <w:tabs/>
        <w:wordWrap w:val="on"/>
        <w:spacing w:after="0" w:before="160"/>
        <w:ind w:left="0" w:right="0"/>
        <w:jc w:val="left"/>
        <w:textAlignment w:val="auto"/>
        <w:rPr>
          <w:sz w:val="24"/>
        </w:rPr>
      </w:pPr>
      <w:bookmarkStart w:id="1238" w:name=""/>
      <w:r>
        <w:rPr>
          <w:rFonts w:ascii="宋体" w:cs="宋体" w:eastAsia="宋体" w:hAnsi="宋体"/>
          <w:sz w:val="24"/>
          <w:spacing w:val="0"/>
          <w:b w:val="off"/>
          <w:i w:val="off"/>
        </w:rPr>
        <w:t>[72]Dark matter signatures of black holes with Yukawa potential</w:t>
      </w:r>
      <w:bookmarkEnd w:id="1238"/>
    </w:p>
    <w:p>
      <w:pPr>
        <w:pageBreakBefore w:val="off"/>
        <w:tabs/>
        <w:wordWrap w:val="on"/>
        <w:spacing w:after="0" w:before="160"/>
        <w:ind w:left="0" w:right="0"/>
        <w:jc w:val="left"/>
        <w:textAlignment w:val="auto"/>
        <w:rPr>
          <w:sz w:val="24"/>
        </w:rPr>
      </w:pPr>
      <w:bookmarkStart w:id="1239" w:name=""/>
      <w:r>
        <w:rPr>
          <w:rFonts w:ascii="宋体" w:cs="宋体" w:eastAsia="宋体" w:hAnsi="宋体"/>
          <w:sz w:val="24"/>
          <w:spacing w:val="0"/>
          <w:b w:val="off"/>
          <w:i w:val="off"/>
        </w:rPr>
        <w:t>https://arxiv.org/abs/2310.17081</w:t>
      </w:r>
      <w:bookmarkEnd w:id="1239"/>
    </w:p>
    <w:p>
      <w:pPr>
        <w:pageBreakBefore w:val="off"/>
        <w:tabs/>
        <w:wordWrap w:val="on"/>
        <w:spacing w:after="0" w:before="160"/>
        <w:ind w:left="0" w:right="0"/>
        <w:jc w:val="left"/>
        <w:textAlignment w:val="auto"/>
        <w:rPr>
          <w:sz w:val="24"/>
        </w:rPr>
      </w:pPr>
      <w:bookmarkStart w:id="1240" w:name=""/>
      <w:r>
        <w:rPr>
          <w:rFonts w:ascii="宋体" w:cs="宋体" w:eastAsia="宋体" w:hAnsi="宋体"/>
          <w:sz w:val="24"/>
          <w:spacing w:val="0"/>
          <w:b w:val="off"/>
          <w:i w:val="off"/>
        </w:rPr>
        <w:t>[73]TAME EXTENSION OF ALMOST O-MINIMAL STRUCTURE</w:t>
      </w:r>
      <w:bookmarkEnd w:id="1240"/>
    </w:p>
    <w:p>
      <w:pPr>
        <w:pageBreakBefore w:val="off"/>
        <w:tabs/>
        <w:wordWrap w:val="on"/>
        <w:spacing w:after="0" w:before="160"/>
        <w:ind w:left="0" w:right="0"/>
        <w:jc w:val="left"/>
        <w:textAlignment w:val="auto"/>
        <w:rPr>
          <w:sz w:val="24"/>
        </w:rPr>
      </w:pPr>
      <w:bookmarkStart w:id="1241" w:name=""/>
      <w:r>
        <w:rPr>
          <w:rFonts w:ascii="宋体" w:cs="宋体" w:eastAsia="宋体" w:hAnsi="宋体"/>
          <w:sz w:val="24"/>
          <w:spacing w:val="0"/>
          <w:b w:val="off"/>
          <w:i w:val="off"/>
        </w:rPr>
        <w:t>https://arxiv.org/abs/2207.03021</w:t>
      </w:r>
      <w:bookmarkEnd w:id="1241"/>
    </w:p>
    <w:p>
      <w:pPr>
        <w:pageBreakBefore w:val="off"/>
        <w:tabs/>
        <w:wordWrap w:val="on"/>
        <w:spacing w:after="0" w:before="160"/>
        <w:ind w:left="0" w:right="0"/>
        <w:jc w:val="left"/>
        <w:textAlignment w:val="auto"/>
        <w:rPr>
          <w:sz w:val="24"/>
        </w:rPr>
      </w:pPr>
      <w:bookmarkStart w:id="1242" w:name=""/>
      <w:r>
        <w:rPr>
          <w:rFonts w:ascii="宋体" w:cs="宋体" w:eastAsia="宋体" w:hAnsi="宋体"/>
          <w:sz w:val="24"/>
          <w:spacing w:val="0"/>
          <w:b w:val="off"/>
          <w:i w:val="off"/>
        </w:rPr>
        <w:t>[74]WEAK MORPHISMS OF HIGHER DIMENATIONAL AUTOMATA</w:t>
      </w:r>
      <w:bookmarkEnd w:id="1242"/>
    </w:p>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ff"/>
          <w:i w:val="off"/>
        </w:rPr>
        <w:t>https://arxiv.org/abs/1303.2003</w:t>
      </w:r>
      <w:bookmarkEnd w:id="1243"/>
    </w:p>
    <w:p>
      <w:pPr>
        <w:pageBreakBefore w:val="off"/>
        <w:tabs/>
        <w:wordWrap w:val="on"/>
        <w:spacing w:after="0" w:before="160"/>
        <w:ind w:left="0" w:right="0"/>
        <w:jc w:val="left"/>
        <w:textAlignment w:val="auto"/>
        <w:rPr>
          <w:sz w:val="24"/>
        </w:rPr>
      </w:pPr>
      <w:bookmarkStart w:id="1244" w:name=""/>
      <w:r>
        <w:rPr>
          <w:rFonts w:ascii="宋体" w:cs="宋体" w:eastAsia="宋体" w:hAnsi="宋体"/>
          <w:sz w:val="24"/>
          <w:spacing w:val="0"/>
          <w:b w:val="off"/>
          <w:i w:val="off"/>
        </w:rPr>
        <w:t>[75]SURFACES OF OSCULATING CIRCLES IN EUDANEAN SPACE</w:t>
      </w:r>
      <w:bookmarkEnd w:id="1244"/>
    </w:p>
    <w:p>
      <w:pPr>
        <w:pageBreakBefore w:val="off"/>
        <w:tabs/>
        <w:wordWrap w:val="on"/>
        <w:spacing w:after="0" w:before="160"/>
        <w:ind w:left="0" w:right="0"/>
        <w:jc w:val="left"/>
        <w:textAlignment w:val="auto"/>
        <w:rPr>
          <w:sz w:val="24"/>
        </w:rPr>
      </w:pPr>
      <w:bookmarkStart w:id="1245" w:name=""/>
      <w:r>
        <w:rPr>
          <w:rFonts w:ascii="宋体" w:cs="宋体" w:eastAsia="宋体" w:hAnsi="宋体"/>
          <w:sz w:val="24"/>
          <w:spacing w:val="0"/>
          <w:b w:val="off"/>
          <w:i w:val="off"/>
        </w:rPr>
        <w:t>https://arxiv.org/abs/2112.03614</w:t>
      </w:r>
      <w:bookmarkEnd w:id="1245"/>
    </w:p>
    <w:p>
      <w:pPr>
        <w:pageBreakBefore w:val="off"/>
        <w:tabs/>
        <w:wordWrap w:val="on"/>
        <w:spacing w:after="0" w:before="160"/>
        <w:ind w:left="0" w:right="0"/>
        <w:jc w:val="left"/>
        <w:textAlignment w:val="auto"/>
        <w:rPr>
          <w:sz w:val="24"/>
        </w:rPr>
      </w:pPr>
      <w:bookmarkStart w:id="1246" w:name=""/>
      <w:r>
        <w:rPr>
          <w:rFonts w:ascii="宋体" w:cs="宋体" w:eastAsia="宋体" w:hAnsi="宋体"/>
          <w:sz w:val="24"/>
          <w:spacing w:val="0"/>
          <w:b w:val="off"/>
          <w:i w:val="off"/>
        </w:rPr>
        <w:t>[76]CHARmed ROOTS AND THE KROWERAS COMPLAMENT</w:t>
      </w:r>
      <w:bookmarkEnd w:id="1246"/>
    </w:p>
    <w:p>
      <w:pPr>
        <w:pageBreakBefore w:val="off"/>
        <w:tabs/>
        <w:wordWrap w:val="on"/>
        <w:spacing w:after="0" w:before="160"/>
        <w:ind w:left="0" w:right="0"/>
        <w:jc w:val="left"/>
        <w:textAlignment w:val="auto"/>
        <w:rPr>
          <w:sz w:val="24"/>
        </w:rPr>
      </w:pPr>
      <w:bookmarkStart w:id="1247" w:name=""/>
      <w:r>
        <w:rPr>
          <w:rFonts w:ascii="宋体" w:cs="宋体" w:eastAsia="宋体" w:hAnsi="宋体"/>
          <w:sz w:val="24"/>
          <w:spacing w:val="0"/>
          <w:b w:val="off"/>
          <w:i w:val="off"/>
        </w:rPr>
        <w:t>https://arxiv.org/abs/2212.14831</w:t>
      </w:r>
      <w:bookmarkEnd w:id="1247"/>
    </w:p>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ff"/>
          <w:i w:val="off"/>
        </w:rPr>
        <w:t>[77]EXPLICIT COMPUTATIONS WITH CUBIC FOURFOLDS, GUSCHEL-MUCAI FORFOLDS, AND THEIR ASSOCIATION K3 SURFACES</w:t>
      </w:r>
      <w:bookmarkEnd w:id="1248"/>
    </w:p>
    <w:p>
      <w:pPr>
        <w:pageBreakBefore w:val="off"/>
        <w:tabs/>
        <w:wordWrap w:val="on"/>
        <w:spacing w:after="0" w:before="160"/>
        <w:ind w:left="0" w:right="0"/>
        <w:jc w:val="left"/>
        <w:textAlignment w:val="auto"/>
        <w:rPr>
          <w:sz w:val="24"/>
        </w:rPr>
      </w:pPr>
      <w:bookmarkStart w:id="1249" w:name=""/>
      <w:r>
        <w:rPr>
          <w:rFonts w:ascii="宋体" w:cs="宋体" w:eastAsia="宋体" w:hAnsi="宋体"/>
          <w:sz w:val="24"/>
          <w:spacing w:val="0"/>
          <w:b w:val="off"/>
          <w:i w:val="off"/>
        </w:rPr>
        <w:t>https://arxiv.org/abs/2204.11518</w:t>
      </w:r>
      <w:bookmarkEnd w:id="1249"/>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2026-07-10T15:23:21Z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DjcT+hHro5GD9Q9gZ5l5ylTCTMidDZYPZd9mbn6LdY0=","ProduceID":"doc_sgs:e8c8ee79-1f2c-48f3-98b5-4d39b7103053","ReservedCode2":"DjcT+hHro5GD9Q9gZ5l5ylTCTMidDZYPZd9mbn6LdY0=","PropagateID":"doc_sgs:e8c8ee79-1f2c-48f3-98b5-4d39b7103053","ContentProducer":"001191440101MA9Y9T4H7A00000"}</vt:lpwstr>
  </property>
</Properties>
</file>