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240" w:before="0"/>
        <w:jc w:val="center"/>
      </w:pPr>
      <w:r>
        <w:rPr>
          <w:rFonts w:ascii="Arial" w:cs="Arial" w:eastAsia="Arial" w:hAnsi="Arial"/>
          <w:color w:val="D97706"/>
          <w:sz w:val="96"/>
          <w:szCs w:val="96"/>
        </w:rPr>
        <w:t xml:space="preserve">₿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Bitcoin Market Sentiment &amp;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Hyperliquid Trader Performance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Data Science Assignment — Primetrade.ai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April 2025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$10.25M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Realised PnL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83.2%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Overall Win Rate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Traders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104,402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Closing Trades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Analysis Period: May 2023 – May 2025  |  Data Source: Hyperliquid + Alternative.me Fear &amp; Greed Index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report analyses 211,224 trade records from 32 Hyperliquid traders across a two-year period (May 2023–May 2025) against the Bitcoin Fear &amp; Greed Index. The study identifies how market sentiment shapes trader profitability, win rates, directional bias, and coin selection.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headline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Extreme Greed is the highest-yielding sentiment: average PnL of $130/trade and a win rate of 89.2% — the best of any sentiment bucket.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Fear is the most frequently traded and second-highest PnL sentiment, generating $3.36M in total with an 87.3% win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Extreme Fear produces the lowest average PnL ($71) but still maintains a 76.2% win rate — traders remain profitable even in the worst sentiment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Market sentiment and daily PnL are weakly but significantly negatively correlated (r = −0.098, p = 0.044), suggesting traders slightly outperform on fearful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HYPE token dominates PnL in Fear regimes; @107 (a custom coin) is the top earner in Greed and Extreme Greed periods.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largest single loss of $117,990 occurred during a Greed day — highlighting outsized downside risk despite high win rates.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Dataset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Hyperliquid Historical Trade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211,224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Closing Trades (PnL events)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104,402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2023 – May 2025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Traders (Wallets)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Coins/Assets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Realised PnL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$10,254,487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Overall Win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83.2%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Avg PnL per Closing Trade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$98.2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Largest Single Gain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$135,329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Largest Single Loss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-$117,990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Bitcoin Fear &amp; Greed Index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Fear &amp; Greed Index from Alternative.me assigns a daily score (0–100) and a classification label. The merged dataset covers all trading days within the two-year window.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19.2%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0–24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781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29.5%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25–49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15.0%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50–54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23.9%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55–74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12.3%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75–100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Sentiment vs. Trader Performance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600575"/>
            <wp:effectExtent t="0" r="0" b="0" l="0"/>
            <wp:docPr id="1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Figure 1: Sentiment Overview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PnL by Sentiment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PnL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PnL/Trade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Trades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$739,110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$71.03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76.2%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10,406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$3,357,155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$112.63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87.3%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29,808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$1,292,921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$71.20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82.4%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18,159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$2,150,129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$85.40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76.9%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25,176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$2,715,171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$130.21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89.2%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20,853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 Key Insight: The Bi-Modal Opportunity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Performance peaks at both ends of the Fear/Greed spectrum. Extreme Greed yields the highest per-trade returns ($130) and win rate (89%), while Fear generates the most total profit ($3.36M) due to high trade frequency. The "sweet spot" for risk-adjusted quality is Extreme Greed; the "sweet spot" for volume is Fear.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Sharpe-Like Ratio by Sentiment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Measuring the ratio of mean daily PnL to its standard deviation (a Sharpe proxy) reveals that Neutral sentiment actually offers the best risk-adjusted returns, followed by Extreme Fear.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 Proxy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0.576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★ Best risk-adjusted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0.521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quality, lower volume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0.427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0.337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reward, higher variance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0.192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volatile outcome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⚠️  Risk Warning: Greed Period Volatility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Despite Greed having a 76.9% win rate, it carries the worst Sharpe proxy (0.192) and hosted the dataset's largest single loss (-$117,990 in December 2024). Traders in Greed regimes take larger positions with more variance — proceed with tighter risk management.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Advanced Trader Behaviour Analysis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638675"/>
            <wp:effectExtent t="0" r="0" b="0" l="0"/>
            <wp:docPr id="1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Figure 2: Advanced Analysis — Long/Short, Distributions, Account Rankings, Cumulative PnL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Long vs. Short Performance by Sentiment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Across all sentiment regimes, long positions consistently outperform short positions in total PnL — a reflection of the overall bullish crypto market during the 2023–2025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Fear: Longs dominate; shorts contribute negative or near-zero PnL.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Extreme Greed: Both longs and shorts are profitable — the market offers momentum in both directions.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Greed: Longs generate strong positive PnL but shorts can be a meaningful drag.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Trader Concentration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PnL is highly concentrated. The top 5 traders (wallet addresses) account for the majority of total gains, indicating that a small cohort drives most of the reported performance — a common pattern in on-chain trading data.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🔍  Concentration Risk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these datasets represent a fund or a cohort of managed accounts, strategy replication outside this top cluster may yield significantly lower returns. The 83.2% overall win rate is pulled up by elite traders.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Cumulative PnL vs. Fear &amp; Greed Index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cumulative PnL grows steadily through 2023–early 2024, then accelerates sharply through the bull run of late 2024 (Extreme Greed regime). There is a brief drawdown period in mid-2024 corresponding to elevated Fear readings. This is consistent with the counterintuitive finding that fearful markets are often better entry points.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Hidden Patterns &amp; Deep Insights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Figure 3: Hidden Patterns — Coins, Intraday, Correlation, Day-of-Week, Monthly Trends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Best Coin per Sentiment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Coin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PnL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$482,084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$840,306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$303,376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@107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$724,342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@107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$1,988,619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💎  Sentiment-Coin Strategy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HYPE is the go-to asset during fear regimes — it generates outsized PnL when the broader market is pessimistic, likely driven by its utility token dynamics. @107 dominates during greed phases, suggesting momentum-following works extremely well for this asset. SOL is the neutral-market champion.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Intraday Patterns (Hour × Sentiment Heatmap)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heatmap of average PnL by hour-of-day vs. sentiment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Morning IST sessions (6–10 AM) during Extreme Greed have the highest average per-trade PnL.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Late-night sessions (12–3 AM IST) show depressed performance across all sentiment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Fear-regime afternoons (2–5 PM IST) are surprisingly productive — possibly due to US market open overlap.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Correlation Analysis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Pearson correlation between the daily Fear &amp; Greed Index value and daily aggregate PnL: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Pearson 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-0.0984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p-value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0.044 (statistically significant)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Weak negative — traders do slightly better on fearful days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While the correlation is weak (r = −0.098), it is statistically significant at the 5% level. This suggests a genuine, if mild, contrarian edge — buying when others are fearful adds value.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Day-of-Week Effects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Significant day-of-week variation exists: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Monday and Tuesday show the strongest average per-trade PnL, particularly during Fear and Extreme Greed phases.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Saturday and Sunday lag weekdays — lower liquidity in traditional markets reduces crypto momentum spillovers.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Wednesday is the weakest weekday, especially in Neutral and Greed conditions.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Strategic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Strategy 1: Sentiment-Tiered Position Sizing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Scale position size based on sentiment regime using data-backed multipliers: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Multiplier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1.5× base 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Highest win rate (89%) + avg PnL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1.3× base 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volume + strong win rate (87%)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1.0× base 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Sharpe proxy — steady state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0.8× base 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win rate; reduce exposure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0.7× base 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Highest variance; tightest stops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Strategy 2: Coin-Rotation by Sentiment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Rotate primary exposure based on the prevailing FG regime: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Fear / Extreme Fear → Overweight HYPE (top performer in both regimes).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Neutral → Rotate to SOL and large-cap alts for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Greed / Extreme Greed → Shift exposure to @107 and momentum plays.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Strategy 3: Contrarian Entry Filter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Utilise the statistically significant negative correlation (r = −0.098) as an entry filter: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FG drops below 30 (Fear/Extreme Fear): increase long exposure — data shows superior risk-adjusted returns on these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When FG rises above 75 (Extreme Greed): increase position quality checks, reduce averaging-in, and tighten stop-losses given elevated variance.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Strategy 4: Time-of-Day Optimisation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trade execution windows by intraday PnL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Preferred windows: 6–10 AM IST and 2–5 PM IST (US market overlap).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Avoid: 12–3 AM IST (lowest average PnL across all sentiment regimes).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Monday–Tuesday morning sessions during any Fear or Extreme Greed regime show the best historical outcomes.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Limitations &amp; Caveats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Small trader cohort (32 wallets): findings may not generalise to the broader Hyperliquid user base. The high win rates likely reflect elite or algorithmic traders.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Survivorship bias: wallets that stopped trading before the analysis cutoff are underrepresented.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Fear &amp; Greed Index covers Bitcoin sentiment specifically, but many traded coins (SOL, HYPE, etc.) have distinct market dynamics.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Weak correlation (r = −0.098) means sentiment alone is not a reliable predictor of daily PnL — it is a signal, not a deterministic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@107 is an unusual ticker — if it represents a non-public or illiquid market, its PnL figures may be less replicable.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PnL figures are gross; fee impact (typically 0.02–0.05% per trade on Hyperliquid) reduces net returns, especially for high-frequency traders.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Conclusion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analysis demonstrates a clear relationship between Bitcoin market sentiment and Hyperliquid trader performance. The data supports a nuanced contrarian thesis: while Extreme Greed produces the highest per-trade returns, Fear regimes generate the most total profit through volume, and a statistically significant (if weak) negative correlation with the FG index confirms that fearful markets are productive trading environments.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actionable finding is the sentiment-coin pairing: HYPE during fear, @107 during greed, and SOL during neutral periods. Combined with sentiment-tiered position sizing, time-of-day filtering, and tighter risk management during Greed phases, these strategies offer a concrete, data-backed edge for the Primetrade.ai trading team.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🎯  Final Recommendation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"Be greedy when the market is fearful — but be disciplined when the market is greedy." The data supports trading larger and with more confidence during Fear regimes while demanding tighter stop-losses and position quality during Greed. The combination of sentiment-routing, coin-rotation, and intraday timing creates a compounding edge across the full market cycle.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D1D5DB"/>
          <w:sz w:val="22"/>
          <w:szCs w:val="22"/>
        </w:rPr>
        <w:t xml:space="preserve">— End of Report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9b001eb5a043eee667be599513539eced99da2.png"/><Relationship Id="rId8" Type="http://schemas.openxmlformats.org/officeDocument/2006/relationships/image" Target="media/b4f7790f68f701715072cac0737d8b1a2daba54f.png"/><Relationship Id="rId9" Type="http://schemas.openxmlformats.org/officeDocument/2006/relationships/image" Target="media/250d295ef6d32df3472b483784ee30ce2b4fa4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2026-04-15T03:54:07.716Z</dcterms:created>
  <dcterms:modified xsi:type="dcterms:W3CDTF">2026-04-15T03:54:07.717Z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