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  <w:jc w:val="center"/>
      </w:pPr>
      <w:r>
        <w:rPr>
          <w:b/>
          <w:bCs/>
          <w:color w:val="000000"/>
          <w:sz w:val="32"/>
          <w:szCs w:val="32"/>
        </w:rPr>
        <w:t xml:space="preserve">Lab 1: Requirements Engineering &amp; UML Use-Case Modelling</w:t>
      </w:r>
    </w:p>
    <w:p>
      <w:pPr>
        <w:spacing w:after="30"/>
        <w:jc w:val="center"/>
      </w:pPr>
      <w:r>
        <w:rPr>
          <w:i/>
          <w:iCs/>
          <w:color w:val="000000"/>
          <w:sz w:val="24"/>
          <w:szCs w:val="24"/>
        </w:rPr>
        <w:t xml:space="preserve">Problem Statement #08 – Digital Campus Library Reservation Gateway</w:t>
      </w:r>
    </w:p>
    <w:p>
      <w:pPr>
        <w:spacing w:after="160"/>
        <w:jc w:val="center"/>
      </w:pPr>
      <w:r>
        <w:rPr>
          <w:color w:val="000000"/>
          <w:sz w:val="20"/>
          <w:szCs w:val="20"/>
        </w:rPr>
        <w:t xml:space="preserve">Actors: Student Member, Head Librarian, Notification Service (system), Fine Payment Gateway (system)</w:t>
      </w:r>
    </w:p>
    <w:p>
      <w:pPr>
        <w:pStyle w:val="Heading2"/>
        <w:spacing w:after="100"/>
      </w:pPr>
      <w:r>
        <w:rPr>
          <w:b/>
          <w:bCs/>
          <w:color w:val="000000"/>
          <w:sz w:val="26"/>
          <w:szCs w:val="26"/>
        </w:rPr>
        <w:t xml:space="preserve">Part 1 – Requirements Table</w:t>
      </w:r>
    </w:p>
    <w:tbl>
      <w:tblPr>
        <w:tblW w:type="dxa" w:w="1430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AAAAA" w:sz="4"/>
          <w:insideV w:val="single" w:color="AAAAAA" w:sz="4"/>
        </w:tblBorders>
      </w:tblPr>
      <w:tblGrid>
        <w:gridCol w:w="900"/>
        <w:gridCol w:w="1100"/>
        <w:gridCol w:w="4200"/>
        <w:gridCol w:w="900"/>
        <w:gridCol w:w="4200"/>
        <w:gridCol w:w="30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Req ID</w:t>
            </w:r>
          </w:p>
        </w:tc>
        <w:tc>
          <w:tcPr>
            <w:tcW w:type="dxa" w:w="1100"/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Type</w:t>
            </w:r>
          </w:p>
        </w:tc>
        <w:tc>
          <w:tcPr>
            <w:tcW w:type="dxa" w:w="4200"/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3000"/>
            <w:shd w:fill="D9D9D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FR-001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allow a Student Member to search the ISBN catalog and place a hold request on a currently loaned book, entering the member into a FIFO waitlist for that title.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Pass: Member is assigned the correct sequential position in the queue and can view it. Fail: A member who already holds the maximum allowed number of reservations (3) is blocked from placing an additional hold.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 reservation functionality; enables fair, first-come-first-served access to limited physical copies.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automatically notify the next member in the FIFO queue via email/SMS within 15 minutes of a held title being checked in, and shall hold the copy for that member for a 48-hour pickup window.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Pass: Notification log shows a message dispatched within 15 minutes of check-in, and the copy is auto-released to the next queue position if not collected within 48 hours. Fail: No notification is generated, or the copy remains reserved beyond the 48-hour window.</w:t>
            </w:r>
          </w:p>
        </w:tc>
        <w:tc>
          <w:tcPr>
            <w:tcW w:type="dxa" w:w="3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Prevents indefinite blocking of scarce copies and keeps the waitlist moving fairly.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FR-003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automatically compute and post an overdue fine transaction of a configurable daily rate for every loaned item not returned by its due date, updating the member's fine balance in real time.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Pass: A fine transaction record is created the day after the due date and the balance increments daily until return. Fail: An overdue item does not generate any fine transaction, or the balance is not updated after return.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Ensures accurate, auditable tracking of overdue fines without manual librarian intervention.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FR-004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allow the Head Librarian to view, reorder, or cancel any entry in a book's holding queue, including manually overriding a member's queue position for exceptional cases.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Pass: Librarian's cancel/reorder action is reflected immediately in the queue and logged with a timestamp and librarian ID. Fail: A queue change made by the librarian is not persisted or not visible to affected members.</w:t>
            </w:r>
          </w:p>
        </w:tc>
        <w:tc>
          <w:tcPr>
            <w:tcW w:type="dxa" w:w="3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Gives library staff administrative control to resolve disputes, holds errors, and special-access cases.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FR-005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Functional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system shall allow a Student Member to pay outstanding overdue fines online through an integrated payment gateway, and shall block new hold requests while the member's outstanding balance exceeds INR 500.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Pass: A successful payment reduces the outstanding balance and a receipt is generated; a member with a balance above INR 500 is prevented from placing a new hold. Fail: Balance is not updated after payment, or a member over the threshold is still able to place a hold.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Encourages timely fine settlement and protects book availability from members who repeatedly incur overdue fines.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NFR-001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Performance &amp; Security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catalog search query shall return paginated results for a repository of 50,000 titles in under 150 ms, and all search/authentication endpoints shall enforce HTTPS with role-based access control.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Pass: Benchmark tests confirm sub-150 ms latency for search under simulated peak load, and a security scan confirms encrypted transport and correct role enforcement.</w:t>
            </w:r>
          </w:p>
        </w:tc>
        <w:tc>
          <w:tcPr>
            <w:tcW w:type="dxa" w:w="3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Ensures a responsive experience during peak enrollment periods and protects member data from unauthorized access.</w:t>
            </w:r>
          </w:p>
        </w:tc>
      </w:tr>
      <w:tr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NFR-002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 Security &amp; Integrity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All overdue-fine transaction records and payment data shall be encrypted at rest (AES-256) and stored in an immutable, timestamped audit log accessible only to the Head Librarian role.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Pass: A security/penetration audit confirms encryption at rest and verifies that no audit log entry can be modified or deleted post-write. Fail: Any fine or payment record can be altered without a corresponding audit trail entry.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Protects financial transaction integrity and supports institutional compliance/audit requirements.</w:t>
            </w:r>
          </w:p>
        </w:tc>
      </w:tr>
    </w:tbl>
    <w:p>
      <w:pPr>
        <w:spacing w:before="100"/>
      </w:pPr>
      <w:r>
        <w:rPr>
          <w:i/>
          <w:iCs/>
          <w:color w:val="555555"/>
          <w:sz w:val="16"/>
          <w:szCs w:val="16"/>
        </w:rPr>
        <w:t xml:space="preserve">Note: FR-001 and NFR-001 correspond to the requirement templates supplied in the problem statement; FR-002–FR-005 and NFR-002 were authored to complete the set of exactly five functional and two nonfunctional requirements.</w:t>
      </w:r>
    </w:p>
    <w:p>
      <w:r>
        <w:br w:type="page"/>
      </w:r>
    </w:p>
    <w:p>
      <w:pPr>
        <w:pStyle w:val="Heading2"/>
        <w:spacing w:after="160"/>
        <w:jc w:val="center"/>
      </w:pPr>
      <w:r>
        <w:rPr>
          <w:b/>
          <w:bCs/>
          <w:color w:val="000000"/>
          <w:sz w:val="26"/>
          <w:szCs w:val="26"/>
        </w:rPr>
        <w:t xml:space="preserve">Part 2 – UML Use-Case Diagram</w:t>
      </w:r>
    </w:p>
    <w:p>
      <w:pPr>
        <w:jc w:val="center"/>
      </w:pPr>
      <w:r>
        <w:drawing>
          <wp:inline distT="0" distB="0" distL="0" distR="0">
            <wp:extent cx="8382000" cy="565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i/>
          <w:iCs/>
          <w:color w:val="555555"/>
          <w:sz w:val="18"/>
          <w:szCs w:val="18"/>
        </w:rPr>
        <w:t xml:space="preserve">Includes one «include» relationship (Place Hold Request → Verify Member Eligibility) and two «extend» relationships (Send Hold Availability Notice → Place Hold Request; Apply Fine Waiver → Pay Overdue Fine).</w:t>
      </w:r>
    </w:p>
    <w:p>
      <w:r>
        <w:br w:type="page"/>
      </w:r>
    </w:p>
    <w:p>
      <w:pPr>
        <w:pStyle w:val="Heading2"/>
        <w:spacing w:after="40"/>
      </w:pPr>
      <w:r>
        <w:rPr>
          <w:b/>
          <w:bCs/>
          <w:color w:val="000000"/>
          <w:sz w:val="26"/>
          <w:szCs w:val="26"/>
        </w:rPr>
        <w:t xml:space="preserve">Part 3 – Use-Case Flow Specification</w:t>
      </w:r>
    </w:p>
    <w:p>
      <w:pPr>
        <w:spacing w:after="200"/>
      </w:pPr>
      <w:r>
        <w:rPr>
          <w:i/>
          <w:iCs/>
          <w:color w:val="444444"/>
          <w:sz w:val="20"/>
          <w:szCs w:val="20"/>
        </w:rPr>
        <w:t xml:space="preserve">Core use case detailed below: UC-02 Place Hold Request.</w:t>
      </w:r>
    </w:p>
    <w:tbl>
      <w:tblPr>
        <w:tblW w:type="dxa" w:w="1520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AAAAAA" w:sz="4"/>
          <w:insideV w:val="single" w:color="AAAAAA" w:sz="4"/>
        </w:tblBorders>
      </w:tblPr>
      <w:tblGrid>
        <w:gridCol w:w="2400"/>
        <w:gridCol w:w="12800"/>
      </w:tblGrid>
      <w:tr>
        <w:tc>
          <w:tcPr>
            <w:tcW w:type="dxa" w:w="2400"/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 Case ID</w:t>
            </w:r>
          </w:p>
        </w:tc>
        <w:tc>
          <w:tcPr>
            <w:tcW w:type="dxa" w:w="1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UC-02</w:t>
            </w:r>
          </w:p>
        </w:tc>
      </w:tr>
      <w:tr>
        <w:tc>
          <w:tcPr>
            <w:tcW w:type="dxa" w:w="2400"/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Use Case Name</w:t>
            </w:r>
          </w:p>
        </w:tc>
        <w:tc>
          <w:tcPr>
            <w:tcW w:type="dxa" w:w="1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Place Hold Request</w:t>
            </w:r>
          </w:p>
        </w:tc>
      </w:tr>
      <w:tr>
        <w:tc>
          <w:tcPr>
            <w:tcW w:type="dxa" w:w="2400"/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1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Student Member</w:t>
            </w:r>
          </w:p>
        </w:tc>
      </w:tr>
      <w:tr>
        <w:tc>
          <w:tcPr>
            <w:tcW w:type="dxa" w:w="2400"/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Secondary Actors</w:t>
            </w:r>
          </w:p>
        </w:tc>
        <w:tc>
          <w:tcPr>
            <w:tcW w:type="dxa" w:w="1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Head Librarian (queue oversight), Notification Service (system)</w:t>
            </w:r>
          </w:p>
        </w:tc>
      </w:tr>
      <w:tr>
        <w:tc>
          <w:tcPr>
            <w:tcW w:type="dxa" w:w="2400"/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Related Use Cases</w:t>
            </w:r>
          </w:p>
        </w:tc>
        <w:tc>
          <w:tcPr>
            <w:tcW w:type="dxa" w:w="1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«include» UC-03 Verify Member Eligibility;  «extend» UC-04 Send Hold Availability Notice (triggered later, when the title becomes available)</w:t>
            </w:r>
          </w:p>
        </w:tc>
      </w:tr>
      <w:tr>
        <w:tc>
          <w:tcPr>
            <w:tcW w:type="dxa" w:w="2400"/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1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1) The Student Member is authenticated in the Library Reservation Gateway. 2) The requested title exists in the ISBN catalog and its current status is “On Loan.”</w:t>
            </w:r>
          </w:p>
        </w:tc>
      </w:tr>
      <w:tr>
        <w:tc>
          <w:tcPr>
            <w:tcW w:type="dxa" w:w="2400"/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1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Success: The member is added to the title's FIFO holding queue at the correct position and a confirmation is displayed. Failure: No queue entry is created and the member is informed of the reason.</w:t>
            </w:r>
          </w:p>
        </w:tc>
      </w:tr>
    </w:tbl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Student Member logs into the Library Reservation Gateway and searches the ISBN catalog for a title (UC-01 Search ISBN Catalog).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System displays the search results, including each title's availability status (Available / On Loan, with number currently in queue).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Member selects a title marked “On Loan” and clicks “Place Hold.”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System invokes Verify Member Eligibility (UC-03, «include») to confirm the member's account is active, has no blocking fines above INR 500, and has fewer than 3 existing active holds.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System confirms the member is eligible.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System adds the member to the title's FIFO holding queue and computes their queue 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System displays a confirmation screen showing the assigned queue position and an estimated wait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0"/>
          <w:szCs w:val="20"/>
        </w:rPr>
        <w:t xml:space="preserve">Use case ends successfully. (Later, when the title is returned and reaches the front of the queue, UC-04 Send Hold Availability Notice «extends» this use case to notify the member.)</w:t>
      </w: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Alternate Flow – 4a. Member Not Eligible</w:t>
      </w:r>
    </w:p>
    <w:p>
      <w:pPr>
        <w:spacing w:after="60"/>
      </w:pPr>
      <w:r>
        <w:rPr>
          <w:color w:val="000000"/>
          <w:sz w:val="20"/>
          <w:szCs w:val="20"/>
        </w:rPr>
        <w:t xml:space="preserve">4a1. Eligibility check (UC-03) fails because the member already has 3 active holds or an outstanding fine above INR 500.</w:t>
      </w:r>
    </w:p>
    <w:p>
      <w:pPr>
        <w:spacing w:after="60"/>
      </w:pPr>
      <w:r>
        <w:rPr>
          <w:color w:val="000000"/>
          <w:sz w:val="20"/>
          <w:szCs w:val="20"/>
        </w:rPr>
        <w:t xml:space="preserve">4a2. System displays the specific reason for ineligibility (e.g., “Maximum holds reached” or “Outstanding fine exceeds limit – please pay via UC-07 Pay Overdue Fine”).</w:t>
      </w:r>
    </w:p>
    <w:p>
      <w:pPr>
        <w:spacing w:after="60"/>
      </w:pPr>
      <w:r>
        <w:rPr>
          <w:color w:val="000000"/>
          <w:sz w:val="20"/>
          <w:szCs w:val="20"/>
        </w:rPr>
        <w:t xml:space="preserve">4a3. System does not create a queue entry; the member may resolve the issue (return a book or pay the fine) and retry from step 3.</w:t>
      </w:r>
    </w:p>
    <w:p>
      <w:pPr>
        <w:spacing w:after="60"/>
      </w:pPr>
      <w:r>
        <w:rPr>
          <w:color w:val="000000"/>
          <w:sz w:val="20"/>
          <w:szCs w:val="20"/>
        </w:rPr>
        <w:t xml:space="preserve">4a4. Use case ends without success.</w:t>
      </w:r>
    </w:p>
    <w:sectPr>
      <w:pgSz w:w="15840" w:h="12240" w:orient="landscape"/>
      <w:pgMar w:top="500" w:right="560" w:bottom="5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5cae747cbe65a39d27532758aea420cfb9edd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2026-08-21T05:30:20.299Z</dcterms:created>
  <dcterms:modified xsi:type="dcterms:W3CDTF">2026-08-21T05:30:20.299Z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