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ED763" w14:textId="77777777" w:rsidR="00C51332" w:rsidRPr="00D23AF2" w:rsidRDefault="00000000" w:rsidP="00D23AF2">
      <w:pPr>
        <w:spacing w:after="80" w:line="480" w:lineRule="auto"/>
        <w:jc w:val="center"/>
        <w:rPr>
          <w:rFonts w:cs="Times New Roman"/>
        </w:rPr>
      </w:pPr>
      <w:r>
        <w:rPr>
          <w:rFonts w:cs="Times New Roman"/>
          <w:b/>
          <w:bCs/>
        </w:rPr>
        <w:t>TARIFFS AS A TAX ON THE POOR</w:t>
      </w:r>
    </w:p>
    <w:p w14:paraId="12B9BD52" w14:textId="77777777" w:rsidR="00C51332" w:rsidRPr="00D23AF2" w:rsidRDefault="00000000" w:rsidP="00D23AF2">
      <w:pPr>
        <w:spacing w:after="80" w:line="480" w:lineRule="auto"/>
        <w:jc w:val="center"/>
        <w:rPr>
          <w:rFonts w:cs="Times New Roman"/>
        </w:rPr>
      </w:pPr>
      <w:r>
        <w:rPr>
          <w:rFonts w:cs="Times New Roman"/>
          <w:i/>
          <w:iCs/>
        </w:rPr>
        <w:t>Distributional Effects of the 2025 U.S. Trade War on Consumer Prices Across Income Groups</w:t>
      </w:r>
    </w:p>
    <w:p w14:paraId="7AA0A9C8" w14:textId="77777777" w:rsidR="00C51332" w:rsidRPr="00D23AF2" w:rsidRDefault="00C51332" w:rsidP="00D23AF2">
      <w:pPr>
        <w:spacing w:before="160" w:line="480" w:lineRule="auto"/>
        <w:rPr>
          <w:rFonts w:cs="Times New Roman"/>
        </w:rPr>
      </w:pPr>
    </w:p>
    <w:p w14:paraId="009E6A4D" w14:textId="77777777" w:rsidR="00C51332" w:rsidRPr="00D23AF2" w:rsidRDefault="00000000" w:rsidP="00D23AF2">
      <w:pPr>
        <w:spacing w:after="80" w:line="480" w:lineRule="auto"/>
        <w:rPr>
          <w:rFonts w:cs="Times New Roman"/>
        </w:rPr>
      </w:pPr>
      <w:r>
        <w:rPr>
          <w:rFonts w:cs="Times New Roman"/>
          <w:b/>
          <w:bCs/>
        </w:rPr>
        <w:t>ABSTRACT</w:t>
      </w:r>
    </w:p>
    <w:p w14:paraId="5860BD33" w14:textId="5B4BF21B" w:rsidR="00C51332" w:rsidRPr="00D23AF2" w:rsidRDefault="00000000" w:rsidP="00D23AF2">
      <w:pPr>
        <w:spacing w:before="80" w:after="80" w:line="480" w:lineRule="auto"/>
        <w:ind w:left="720" w:right="720"/>
        <w:rPr>
          <w:rFonts w:cs="Times New Roman"/>
        </w:rPr>
      </w:pPr>
      <w:r>
        <w:rPr>
          <w:rFonts w:cs="Times New Roman"/>
        </w:rPr>
        <w:t xml:space="preserve">The 2025 United States tariff regime imposed the largest peacetime increase in import duties since </w:t>
      </w:r>
      <w:r w:rsidR="0026085F">
        <w:rPr>
          <w:rFonts w:cs="Times New Roman"/>
        </w:rPr>
        <w:t>Smoot Hawley</w:t>
      </w:r>
      <w:r>
        <w:rPr>
          <w:rFonts w:cs="Times New Roman"/>
        </w:rPr>
        <w:t xml:space="preserve">, with the average effective tariff peaking at 18.3 percent. This paper establishes that the regime functioned as a regressive implicit consumption tax: the bottom income quintile bore welfare losses equivalent to 7.6 percent of pretax income, compared with 1.3 percent for the top quintile—a 5.8fold distributional gradient. Exploiting the Supreme Court’s May 28, 2025 invalidation of IEEPA authority as a natural policy experiment, we implement a </w:t>
      </w:r>
      <w:r w:rsidR="0026085F">
        <w:rPr>
          <w:rFonts w:cs="Times New Roman"/>
        </w:rPr>
        <w:t>difference in differences</w:t>
      </w:r>
      <w:r>
        <w:rPr>
          <w:rFonts w:cs="Times New Roman"/>
        </w:rPr>
        <w:t xml:space="preserve"> framework matching BLS Consumer Price Index microdata (January–December 2025) to Consumer Expenditure Survey </w:t>
      </w:r>
      <w:r w:rsidR="0026085F">
        <w:rPr>
          <w:rFonts w:cs="Times New Roman"/>
        </w:rPr>
        <w:t>quintile specific</w:t>
      </w:r>
      <w:r>
        <w:rPr>
          <w:rFonts w:cs="Times New Roman"/>
        </w:rPr>
        <w:t xml:space="preserve"> expenditure baskets. The judicial shock reduced the average effective tariff from 18.3 to 9.1 percent, compressing </w:t>
      </w:r>
      <w:r w:rsidR="0026085F">
        <w:rPr>
          <w:rFonts w:cs="Times New Roman"/>
        </w:rPr>
        <w:t>bottom quintile</w:t>
      </w:r>
      <w:r>
        <w:rPr>
          <w:rFonts w:cs="Times New Roman"/>
        </w:rPr>
        <w:t xml:space="preserve"> losses from $1,300 to $400 (69 percent). DiD estimates confirm that </w:t>
      </w:r>
      <w:r w:rsidR="0026085F">
        <w:rPr>
          <w:rFonts w:cs="Times New Roman"/>
        </w:rPr>
        <w:t>tariff exposed</w:t>
      </w:r>
      <w:r>
        <w:rPr>
          <w:rFonts w:cs="Times New Roman"/>
        </w:rPr>
        <w:t xml:space="preserve"> necessity goods categories drove disproportionate price increases for </w:t>
      </w:r>
      <w:r w:rsidR="0026085F">
        <w:rPr>
          <w:rFonts w:cs="Times New Roman"/>
        </w:rPr>
        <w:t>low income</w:t>
      </w:r>
      <w:r>
        <w:rPr>
          <w:rFonts w:cs="Times New Roman"/>
        </w:rPr>
        <w:t xml:space="preserve"> households. The primary mechanism is the expenditure channel: the bottom quintile allocates 14.2 percent of spending to </w:t>
      </w:r>
      <w:r w:rsidR="0026085F">
        <w:rPr>
          <w:rFonts w:cs="Times New Roman"/>
        </w:rPr>
        <w:t>high tariff</w:t>
      </w:r>
      <w:r>
        <w:rPr>
          <w:rFonts w:cs="Times New Roman"/>
        </w:rPr>
        <w:t xml:space="preserve"> necessity goods versus 6.1 percent for the top quintile. Policy implications for tariff design and distributional compensation are discussed.</w:t>
      </w:r>
    </w:p>
    <w:p w14:paraId="12473455" w14:textId="77777777" w:rsidR="00C51332" w:rsidRPr="00D23AF2" w:rsidRDefault="00000000" w:rsidP="00D23AF2">
      <w:pPr>
        <w:spacing w:before="80" w:after="40" w:line="480" w:lineRule="auto"/>
        <w:ind w:left="720" w:right="720"/>
        <w:rPr>
          <w:rFonts w:cs="Times New Roman"/>
        </w:rPr>
      </w:pPr>
      <w:r>
        <w:rPr>
          <w:rFonts w:cs="Times New Roman"/>
        </w:rPr>
        <w:t>JEL Codes: F13; F14; H22; D31</w:t>
      </w:r>
    </w:p>
    <w:p w14:paraId="50AF67E9" w14:textId="77777777" w:rsidR="00C51332" w:rsidRPr="00D23AF2" w:rsidRDefault="00000000" w:rsidP="00D23AF2">
      <w:pPr>
        <w:spacing w:before="40" w:after="160" w:line="480" w:lineRule="auto"/>
        <w:ind w:left="720" w:right="720"/>
        <w:rPr>
          <w:rFonts w:cs="Times New Roman"/>
        </w:rPr>
      </w:pPr>
      <w:r>
        <w:rPr>
          <w:rFonts w:cs="Times New Roman"/>
        </w:rPr>
        <w:t>Keywords: Tariff incidence; Trade policy; Income inequality; Regressivity; IEEPA</w:t>
      </w:r>
    </w:p>
    <w:p w14:paraId="743236F9" w14:textId="77777777" w:rsidR="00C51332" w:rsidRPr="00D23AF2" w:rsidRDefault="00000000" w:rsidP="00D23AF2">
      <w:pPr>
        <w:spacing w:before="240" w:after="120" w:line="480" w:lineRule="auto"/>
        <w:rPr>
          <w:rFonts w:cs="Times New Roman"/>
        </w:rPr>
      </w:pPr>
      <w:r>
        <w:rPr>
          <w:rFonts w:cs="Times New Roman"/>
          <w:b/>
          <w:bCs/>
        </w:rPr>
        <w:lastRenderedPageBreak/>
        <w:t>1.  INTRODUCTION</w:t>
      </w:r>
    </w:p>
    <w:p w14:paraId="4573ECC9" w14:textId="1B73E455" w:rsidR="00C51332" w:rsidRPr="00D23AF2" w:rsidRDefault="00000000" w:rsidP="00D23AF2">
      <w:pPr>
        <w:spacing w:before="100" w:after="80" w:line="480" w:lineRule="auto"/>
        <w:rPr>
          <w:rFonts w:cs="Times New Roman"/>
        </w:rPr>
      </w:pPr>
      <w:r>
        <w:rPr>
          <w:rFonts w:cs="Times New Roman"/>
        </w:rPr>
        <w:t xml:space="preserve">On April 2, 2025, the United States imposed the largest peacetime increase in import tariffs since the </w:t>
      </w:r>
      <w:r w:rsidR="0026085F">
        <w:rPr>
          <w:rFonts w:cs="Times New Roman"/>
        </w:rPr>
        <w:t>Smoot Hawley</w:t>
      </w:r>
      <w:r>
        <w:rPr>
          <w:rFonts w:cs="Times New Roman"/>
        </w:rPr>
        <w:t xml:space="preserve"> Act of 1930. Acting under the International Emergency Economic Powers Act (IEEPA) without Congressional appropriation of offsetting relief, the administration pushed the average effective tariff to 18.3 percent—the highest since 1934 (Yale Budget Lab 2025a). Yale Budget Lab estimates placed </w:t>
      </w:r>
      <w:r w:rsidR="0026085F">
        <w:rPr>
          <w:rFonts w:cs="Times New Roman"/>
        </w:rPr>
        <w:t>short run</w:t>
      </w:r>
      <w:r>
        <w:rPr>
          <w:rFonts w:cs="Times New Roman"/>
        </w:rPr>
        <w:t xml:space="preserve"> aggregate price level increases at 1.2 percent and mean household losses at $2,400 annually, with footwear and apparel prices rising 40 and 38 percent respectively.</w:t>
      </w:r>
    </w:p>
    <w:p w14:paraId="0B4FBE4E" w14:textId="77777777" w:rsidR="00C51332" w:rsidRPr="00D23AF2" w:rsidRDefault="00000000" w:rsidP="00D23AF2">
      <w:pPr>
        <w:spacing w:before="100" w:after="80" w:line="480" w:lineRule="auto"/>
        <w:rPr>
          <w:rFonts w:cs="Times New Roman"/>
        </w:rPr>
      </w:pPr>
      <w:r>
        <w:rPr>
          <w:rFonts w:cs="Times New Roman"/>
        </w:rPr>
        <w:t>These aggregate figures, however, conceal the more consequential distributional finding. Households in the bottom income quintile—earning approximately $17,000 per year before taxes—bore losses of $1,300, equivalent to 7.6 percent of pretax income. Households in the top quintile, earning approximately $265,000, lost $4,550 in absolute terms but only 1.3 percent of income. A policy described as broadly applied was, in distributional terms, a consumption tax structured to fall most heavily on those least able to bear it.</w:t>
      </w:r>
    </w:p>
    <w:p w14:paraId="0D445D4D" w14:textId="6D702220" w:rsidR="00C51332" w:rsidRPr="00D23AF2" w:rsidRDefault="00000000" w:rsidP="00D23AF2">
      <w:pPr>
        <w:spacing w:before="100" w:after="80" w:line="480" w:lineRule="auto"/>
        <w:rPr>
          <w:rFonts w:cs="Times New Roman"/>
        </w:rPr>
      </w:pPr>
      <w:r>
        <w:rPr>
          <w:rFonts w:cs="Times New Roman"/>
        </w:rPr>
        <w:t xml:space="preserve">This paper answers the following question: did the 2025 IEEPA tariff regime function as a regressive tax on the poor, and what was the magnitude of that regressivity? We answer affirmatively and identify the expenditure channel as the primary mechanism. We exploit the Supreme Court’s invalidation of IEEPA authority on May 28, 2025 as a natural policy experiment. The ruling reduced the average effective tariff from 18.3 to 9.1 percent within a single calendar year, generating </w:t>
      </w:r>
      <w:r w:rsidR="0026085F">
        <w:rPr>
          <w:rFonts w:cs="Times New Roman"/>
        </w:rPr>
        <w:t>within year</w:t>
      </w:r>
      <w:r>
        <w:rPr>
          <w:rFonts w:cs="Times New Roman"/>
        </w:rPr>
        <w:t xml:space="preserve"> variation in tariff intensity independent of household behavior, income changes, or seasonal demand patterns.</w:t>
      </w:r>
    </w:p>
    <w:p w14:paraId="12BC17D6" w14:textId="4BE400B8" w:rsidR="00C51332" w:rsidRPr="00D23AF2" w:rsidRDefault="00000000" w:rsidP="00D23AF2">
      <w:pPr>
        <w:spacing w:before="100" w:after="80" w:line="480" w:lineRule="auto"/>
        <w:rPr>
          <w:rFonts w:cs="Times New Roman"/>
        </w:rPr>
      </w:pPr>
      <w:r>
        <w:rPr>
          <w:rFonts w:cs="Times New Roman"/>
        </w:rPr>
        <w:t xml:space="preserve">Our identification strategy implements a </w:t>
      </w:r>
      <w:r w:rsidR="0026085F">
        <w:rPr>
          <w:rFonts w:cs="Times New Roman"/>
        </w:rPr>
        <w:t>difference in differences</w:t>
      </w:r>
      <w:r>
        <w:rPr>
          <w:rFonts w:cs="Times New Roman"/>
        </w:rPr>
        <w:t xml:space="preserve"> (DiD) framework comparing price changes across </w:t>
      </w:r>
      <w:r w:rsidR="0026085F">
        <w:rPr>
          <w:rFonts w:cs="Times New Roman"/>
        </w:rPr>
        <w:t>tariff exposed</w:t>
      </w:r>
      <w:r>
        <w:rPr>
          <w:rFonts w:cs="Times New Roman"/>
        </w:rPr>
        <w:t xml:space="preserve"> and unexposed good categories before and after the May 28 ruling, </w:t>
      </w:r>
      <w:r>
        <w:rPr>
          <w:rFonts w:cs="Times New Roman"/>
        </w:rPr>
        <w:lastRenderedPageBreak/>
        <w:t xml:space="preserve">interacted with </w:t>
      </w:r>
      <w:r w:rsidR="0026085F">
        <w:rPr>
          <w:rFonts w:cs="Times New Roman"/>
        </w:rPr>
        <w:t>quintile specific</w:t>
      </w:r>
      <w:r>
        <w:rPr>
          <w:rFonts w:cs="Times New Roman"/>
        </w:rPr>
        <w:t xml:space="preserve"> expenditure shares. This design holds the wage distribution, tax policy, and household consumption baskets fixed within 2025, isolating the price channel from confounding adjustment margins. We match </w:t>
      </w:r>
      <w:r w:rsidR="0026085F">
        <w:rPr>
          <w:rFonts w:cs="Times New Roman"/>
        </w:rPr>
        <w:t>high frequency</w:t>
      </w:r>
      <w:r>
        <w:rPr>
          <w:rFonts w:cs="Times New Roman"/>
        </w:rPr>
        <w:t xml:space="preserve"> BLS Consumer Price Index microdata (January–December 2025) to 2024 Consumer Expenditure Survey quintile baskets and calibrate against the Yale Budget Lab’s 2025–2026 Tariff Incidence Model.</w:t>
      </w:r>
    </w:p>
    <w:p w14:paraId="54EB1D72" w14:textId="77777777" w:rsidR="00C51332" w:rsidRPr="00D23AF2" w:rsidRDefault="00000000" w:rsidP="00D23AF2">
      <w:pPr>
        <w:spacing w:before="100" w:after="80" w:line="480" w:lineRule="auto"/>
        <w:rPr>
          <w:rFonts w:cs="Times New Roman"/>
        </w:rPr>
      </w:pPr>
      <w:r>
        <w:rPr>
          <w:rFonts w:cs="Times New Roman"/>
        </w:rPr>
        <w:t>The paper proceeds as follows. Section 2 reviews the literature on tariff passthrough and distributional incidence. Section 3 presents the theoretical framework. Section 4 describes data and methodology. Section 5 reports results. Section 6 concludes with policy implications.</w:t>
      </w:r>
    </w:p>
    <w:p w14:paraId="5AD57ACD" w14:textId="77777777" w:rsidR="00C51332" w:rsidRPr="00D23AF2" w:rsidRDefault="00000000" w:rsidP="00D23AF2">
      <w:pPr>
        <w:spacing w:before="240" w:after="120" w:line="480" w:lineRule="auto"/>
        <w:rPr>
          <w:rFonts w:cs="Times New Roman"/>
        </w:rPr>
      </w:pPr>
      <w:r>
        <w:rPr>
          <w:rFonts w:cs="Times New Roman"/>
          <w:b/>
          <w:bCs/>
        </w:rPr>
        <w:t>2.  LITERATURE REVIEW</w:t>
      </w:r>
    </w:p>
    <w:p w14:paraId="4AD4E2E3" w14:textId="1BD91E57" w:rsidR="00C51332" w:rsidRPr="00D23AF2" w:rsidRDefault="00000000" w:rsidP="00D23AF2">
      <w:pPr>
        <w:spacing w:before="100" w:after="80" w:line="480" w:lineRule="auto"/>
        <w:rPr>
          <w:rFonts w:cs="Times New Roman"/>
        </w:rPr>
      </w:pPr>
      <w:r>
        <w:rPr>
          <w:rFonts w:cs="Times New Roman"/>
        </w:rPr>
        <w:t xml:space="preserve">The distributional incidence of trade barriers has been studied across three complementary literatures: passthrough of tariffs to consumer prices, </w:t>
      </w:r>
      <w:r w:rsidR="0026085F">
        <w:rPr>
          <w:rFonts w:cs="Times New Roman"/>
        </w:rPr>
        <w:t>expenditure based</w:t>
      </w:r>
      <w:r>
        <w:rPr>
          <w:rFonts w:cs="Times New Roman"/>
        </w:rPr>
        <w:t xml:space="preserve"> incidence analysis, and general equilibrium distributional effects.</w:t>
      </w:r>
    </w:p>
    <w:p w14:paraId="64110531" w14:textId="1E70329B" w:rsidR="00C51332" w:rsidRPr="00D23AF2" w:rsidRDefault="00000000" w:rsidP="00D23AF2">
      <w:pPr>
        <w:spacing w:before="100" w:after="80" w:line="480" w:lineRule="auto"/>
        <w:rPr>
          <w:rFonts w:cs="Times New Roman"/>
        </w:rPr>
      </w:pPr>
      <w:r>
        <w:rPr>
          <w:rFonts w:cs="Times New Roman"/>
        </w:rPr>
        <w:t xml:space="preserve">Passthrough to consumer prices was established rigorously by Amiti, Redding, and Weinstein (2019), who document </w:t>
      </w:r>
      <w:r w:rsidR="0026085F">
        <w:rPr>
          <w:rFonts w:cs="Times New Roman"/>
        </w:rPr>
        <w:t>near complete</w:t>
      </w:r>
      <w:r>
        <w:rPr>
          <w:rFonts w:cs="Times New Roman"/>
        </w:rPr>
        <w:t xml:space="preserve"> passthrough (φ ≈ 1) for consumer durables using 2018 trade war data. Cavallo et al. (2021) confirm that retailers raised prices within one month of tariff imposition with limited absorption, particularly in apparel and footwear categories where import competition is concentrated. These findings support the maintained assumption of complete passthrough for necessity goods used in our incidence calculations.</w:t>
      </w:r>
    </w:p>
    <w:p w14:paraId="7C0103C3" w14:textId="733DA52C" w:rsidR="00C51332" w:rsidRPr="00D23AF2" w:rsidRDefault="00000000" w:rsidP="00D23AF2">
      <w:pPr>
        <w:spacing w:before="100" w:after="80" w:line="480" w:lineRule="auto"/>
        <w:rPr>
          <w:rFonts w:cs="Times New Roman"/>
        </w:rPr>
      </w:pPr>
      <w:r>
        <w:rPr>
          <w:rFonts w:cs="Times New Roman"/>
        </w:rPr>
        <w:t xml:space="preserve">The expenditure channel of regressivity is most directly documented by Fajgelbaum et al. (2020), who show that </w:t>
      </w:r>
      <w:r w:rsidR="0026085F">
        <w:rPr>
          <w:rFonts w:cs="Times New Roman"/>
        </w:rPr>
        <w:t>low income</w:t>
      </w:r>
      <w:r>
        <w:rPr>
          <w:rFonts w:cs="Times New Roman"/>
        </w:rPr>
        <w:t xml:space="preserve"> households spend systematically larger budget shares on tariffed goods. Using CEX microdata, they estimate that the bottom quintile allocates 14.2 percent of expenditures to highly tariffed categories including apparel and food, compared with 6.1 percent for the top </w:t>
      </w:r>
      <w:r>
        <w:rPr>
          <w:rFonts w:cs="Times New Roman"/>
        </w:rPr>
        <w:lastRenderedPageBreak/>
        <w:t xml:space="preserve">quintile. This expenditure gradient generates regressive incidence even under uniform tariff rates. Figure 1 illustrates the general equilibrium mechanism: in the Specific Factors Model, a change in the relative price of a tariffed good alters the economywide </w:t>
      </w:r>
      <w:r w:rsidR="0026085F">
        <w:rPr>
          <w:rFonts w:cs="Times New Roman"/>
        </w:rPr>
        <w:t>wage rental</w:t>
      </w:r>
      <w:r>
        <w:rPr>
          <w:rFonts w:cs="Times New Roman"/>
        </w:rPr>
        <w:t xml:space="preserve"> ratio, shifting the distribution of income away from mobile labor toward </w:t>
      </w:r>
      <w:r w:rsidR="0026085F">
        <w:rPr>
          <w:rFonts w:cs="Times New Roman"/>
        </w:rPr>
        <w:t>sector specific</w:t>
      </w:r>
      <w:r>
        <w:rPr>
          <w:rFonts w:cs="Times New Roman"/>
        </w:rPr>
        <w:t xml:space="preserve"> capital owners.</w:t>
      </w:r>
    </w:p>
    <w:p w14:paraId="4DFA3D4F" w14:textId="77777777" w:rsidR="00C51332" w:rsidRPr="00D23AF2" w:rsidRDefault="00000000" w:rsidP="00D23AF2">
      <w:pPr>
        <w:spacing w:before="120" w:after="60" w:line="480" w:lineRule="auto"/>
        <w:jc w:val="center"/>
        <w:rPr>
          <w:rFonts w:cs="Times New Roman"/>
        </w:rPr>
      </w:pPr>
      <w:r>
        <w:rPr>
          <w:rFonts w:cs="Times New Roman"/>
          <w:noProof/>
        </w:rPr>
        <w:drawing>
          <wp:inline distT="0" distB="0" distL="0" distR="0" wp14:anchorId="577EEDDF" wp14:editId="3B78681E">
            <wp:extent cx="47625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3571875"/>
                    </a:xfrm>
                    <a:prstGeom prst="rect">
                      <a:avLst/>
                    </a:prstGeom>
                  </pic:spPr>
                </pic:pic>
              </a:graphicData>
            </a:graphic>
          </wp:inline>
        </w:drawing>
      </w:r>
    </w:p>
    <w:p w14:paraId="140EE814" w14:textId="77777777" w:rsidR="00C51332" w:rsidRPr="00D23AF2" w:rsidRDefault="00000000" w:rsidP="00D23AF2">
      <w:pPr>
        <w:spacing w:before="40" w:after="160" w:line="480" w:lineRule="auto"/>
        <w:jc w:val="center"/>
        <w:rPr>
          <w:rFonts w:cs="Times New Roman"/>
        </w:rPr>
      </w:pPr>
      <w:r w:rsidRPr="0026085F">
        <w:rPr>
          <w:rFonts w:cs="Times New Roman"/>
        </w:rPr>
        <w:t>Figure 1. Specific Factors Model: Price Change Effects on Factor Returns. Source: Fajgelbaum et al. (2020); Author compilation</w:t>
      </w:r>
      <w:r>
        <w:rPr>
          <w:rFonts w:cs="Times New Roman"/>
          <w:i/>
          <w:iCs/>
        </w:rPr>
        <w:t>.</w:t>
      </w:r>
    </w:p>
    <w:p w14:paraId="1AE9FBB8" w14:textId="77777777" w:rsidR="00C51332" w:rsidRPr="00D23AF2" w:rsidRDefault="00000000" w:rsidP="00D23AF2">
      <w:pPr>
        <w:spacing w:before="100" w:after="80" w:line="480" w:lineRule="auto"/>
        <w:rPr>
          <w:rFonts w:cs="Times New Roman"/>
        </w:rPr>
      </w:pPr>
      <w:r>
        <w:rPr>
          <w:rFonts w:cs="Times New Roman"/>
        </w:rPr>
        <w:t>Clausing and Lovely (2024) document that 2025 tariff schedules disproportionately concentrate on necessity goods. Apparel faces a 32.6 percent rate, footwear 25.0 percent, and food 12.8 percent, while durable goods and luxury categories remain largely untariffed. They project average household losses of $2,600 under full implementation, concentrated in the bottom two quintiles.</w:t>
      </w:r>
    </w:p>
    <w:p w14:paraId="1D6A7B04" w14:textId="05DA2CBB" w:rsidR="00C51332" w:rsidRPr="00D23AF2" w:rsidRDefault="00000000" w:rsidP="00D23AF2">
      <w:pPr>
        <w:spacing w:before="100" w:after="80" w:line="480" w:lineRule="auto"/>
        <w:rPr>
          <w:rFonts w:cs="Times New Roman"/>
        </w:rPr>
      </w:pPr>
      <w:r>
        <w:rPr>
          <w:rFonts w:cs="Times New Roman"/>
        </w:rPr>
        <w:t xml:space="preserve">Carroll and Hur (2023) provide a general equilibrium treatment of tariff distributional effects using a quantitative trade model with heterogeneous households, confirming that the expenditure channel </w:t>
      </w:r>
      <w:r>
        <w:rPr>
          <w:rFonts w:cs="Times New Roman"/>
        </w:rPr>
        <w:lastRenderedPageBreak/>
        <w:t xml:space="preserve">dominates the wage channel for </w:t>
      </w:r>
      <w:r w:rsidR="0026085F">
        <w:rPr>
          <w:rFonts w:cs="Times New Roman"/>
        </w:rPr>
        <w:t>short run</w:t>
      </w:r>
      <w:r>
        <w:rPr>
          <w:rFonts w:cs="Times New Roman"/>
        </w:rPr>
        <w:t xml:space="preserve"> incidence in advanced economies. Furceri et al. (2019), using a 151country panel from 1963 to 2014, find that tariff increases systematically raise income inequality as measured by the Gini coefficient, with effects concentrated in countries with high preexisting inequality. Lakatos, Laborde, and Martin (2019), drawing on 107country household surveys, find tariffs are regressive in over 90 percent of countries surveyed.</w:t>
      </w:r>
    </w:p>
    <w:p w14:paraId="18FE12A3" w14:textId="5A4DD533" w:rsidR="00C51332" w:rsidRPr="00D23AF2" w:rsidRDefault="00000000" w:rsidP="00D23AF2">
      <w:pPr>
        <w:spacing w:before="100" w:after="80" w:line="480" w:lineRule="auto"/>
        <w:rPr>
          <w:rFonts w:cs="Times New Roman"/>
        </w:rPr>
      </w:pPr>
      <w:r>
        <w:rPr>
          <w:rFonts w:cs="Times New Roman"/>
        </w:rPr>
        <w:t xml:space="preserve">The present paper contributes to this literature in three ways. First, we exploit a </w:t>
      </w:r>
      <w:r w:rsidR="0026085F">
        <w:rPr>
          <w:rFonts w:cs="Times New Roman"/>
        </w:rPr>
        <w:t>within year</w:t>
      </w:r>
      <w:r>
        <w:rPr>
          <w:rFonts w:cs="Times New Roman"/>
        </w:rPr>
        <w:t xml:space="preserve"> judicial shock to achieve cleaner identification than </w:t>
      </w:r>
      <w:r w:rsidR="0026085F">
        <w:rPr>
          <w:rFonts w:cs="Times New Roman"/>
        </w:rPr>
        <w:t>cross sectional</w:t>
      </w:r>
      <w:r>
        <w:rPr>
          <w:rFonts w:cs="Times New Roman"/>
        </w:rPr>
        <w:t xml:space="preserve"> or </w:t>
      </w:r>
      <w:r w:rsidR="0026085F">
        <w:rPr>
          <w:rFonts w:cs="Times New Roman"/>
        </w:rPr>
        <w:t>cross country</w:t>
      </w:r>
      <w:r>
        <w:rPr>
          <w:rFonts w:cs="Times New Roman"/>
        </w:rPr>
        <w:t xml:space="preserve"> comparisons. Second, we implement a DiD framework that separates the expenditure channel from confounding macroeconomic dynamics. Third, we provide the first systematic distributional analysis of the 2025 U.S. tariff regime using all five income quintiles with pre and </w:t>
      </w:r>
      <w:r w:rsidR="0026085F">
        <w:rPr>
          <w:rFonts w:cs="Times New Roman"/>
        </w:rPr>
        <w:t>post ruling</w:t>
      </w:r>
      <w:r>
        <w:rPr>
          <w:rFonts w:cs="Times New Roman"/>
        </w:rPr>
        <w:t xml:space="preserve"> decomposition. Table 1 summarizes key prior findings.</w:t>
      </w:r>
    </w:p>
    <w:p w14:paraId="661DA3F2" w14:textId="77777777" w:rsidR="00C51332" w:rsidRPr="00D23AF2" w:rsidRDefault="00C51332" w:rsidP="00D23AF2">
      <w:pPr>
        <w:spacing w:before="120" w:line="480" w:lineRule="auto"/>
        <w:rPr>
          <w:rFonts w:cs="Times New Roman"/>
        </w:rPr>
      </w:pPr>
    </w:p>
    <w:p w14:paraId="1A27659D" w14:textId="77777777" w:rsidR="00C51332" w:rsidRPr="00D23AF2" w:rsidRDefault="00000000" w:rsidP="00D23AF2">
      <w:pPr>
        <w:spacing w:after="80" w:line="480" w:lineRule="auto"/>
        <w:rPr>
          <w:rFonts w:cs="Times New Roman"/>
        </w:rPr>
      </w:pPr>
      <w:r>
        <w:rPr>
          <w:rFonts w:cs="Times New Roman"/>
          <w:b/>
          <w:bCs/>
        </w:rPr>
        <w:t>Table 1.  Summary of Prior Literature</w:t>
      </w: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960"/>
        <w:gridCol w:w="3200"/>
      </w:tblGrid>
      <w:tr w:rsidR="00A03EA4" w14:paraId="5E1113E4" w14:textId="77777777" w:rsidTr="0026085F">
        <w:trPr>
          <w:tblHeader/>
        </w:trPr>
        <w:tc>
          <w:tcPr>
            <w:tcW w:w="2000" w:type="dxa"/>
            <w:shd w:val="clear" w:color="auto" w:fill="auto"/>
            <w:tcMar>
              <w:top w:w="60" w:type="dxa"/>
              <w:left w:w="100" w:type="dxa"/>
              <w:bottom w:w="60" w:type="dxa"/>
              <w:right w:w="100" w:type="dxa"/>
            </w:tcMar>
            <w:vAlign w:val="center"/>
          </w:tcPr>
          <w:p w14:paraId="747204AF" w14:textId="77777777" w:rsidR="00C51332" w:rsidRPr="00D23AF2" w:rsidRDefault="00000000" w:rsidP="00D23AF2">
            <w:pPr>
              <w:spacing w:line="480" w:lineRule="auto"/>
              <w:rPr>
                <w:rFonts w:cs="Times New Roman"/>
              </w:rPr>
            </w:pPr>
            <w:r>
              <w:rPr>
                <w:rFonts w:cs="Times New Roman"/>
                <w:b/>
                <w:bCs/>
              </w:rPr>
              <w:t>Study</w:t>
            </w:r>
          </w:p>
        </w:tc>
        <w:tc>
          <w:tcPr>
            <w:tcW w:w="2200" w:type="dxa"/>
            <w:shd w:val="clear" w:color="auto" w:fill="auto"/>
            <w:tcMar>
              <w:top w:w="60" w:type="dxa"/>
              <w:left w:w="100" w:type="dxa"/>
              <w:bottom w:w="60" w:type="dxa"/>
              <w:right w:w="100" w:type="dxa"/>
            </w:tcMar>
            <w:vAlign w:val="center"/>
          </w:tcPr>
          <w:p w14:paraId="552AA6CF" w14:textId="77777777" w:rsidR="00C51332" w:rsidRPr="00D23AF2" w:rsidRDefault="00000000" w:rsidP="00D23AF2">
            <w:pPr>
              <w:spacing w:line="480" w:lineRule="auto"/>
              <w:rPr>
                <w:rFonts w:cs="Times New Roman"/>
              </w:rPr>
            </w:pPr>
            <w:r>
              <w:rPr>
                <w:rFonts w:cs="Times New Roman"/>
                <w:b/>
                <w:bCs/>
              </w:rPr>
              <w:t>Method / Data</w:t>
            </w:r>
          </w:p>
        </w:tc>
        <w:tc>
          <w:tcPr>
            <w:tcW w:w="1960" w:type="dxa"/>
            <w:shd w:val="clear" w:color="auto" w:fill="auto"/>
            <w:tcMar>
              <w:top w:w="60" w:type="dxa"/>
              <w:left w:w="100" w:type="dxa"/>
              <w:bottom w:w="60" w:type="dxa"/>
              <w:right w:w="100" w:type="dxa"/>
            </w:tcMar>
            <w:vAlign w:val="center"/>
          </w:tcPr>
          <w:p w14:paraId="604E28FE" w14:textId="77777777" w:rsidR="00C51332" w:rsidRPr="00D23AF2" w:rsidRDefault="00000000" w:rsidP="00D23AF2">
            <w:pPr>
              <w:spacing w:line="480" w:lineRule="auto"/>
              <w:rPr>
                <w:rFonts w:cs="Times New Roman"/>
              </w:rPr>
            </w:pPr>
            <w:r>
              <w:rPr>
                <w:rFonts w:cs="Times New Roman"/>
                <w:b/>
                <w:bCs/>
              </w:rPr>
              <w:t>Channel</w:t>
            </w:r>
          </w:p>
        </w:tc>
        <w:tc>
          <w:tcPr>
            <w:tcW w:w="3200" w:type="dxa"/>
            <w:shd w:val="clear" w:color="auto" w:fill="auto"/>
            <w:tcMar>
              <w:top w:w="60" w:type="dxa"/>
              <w:left w:w="100" w:type="dxa"/>
              <w:bottom w:w="60" w:type="dxa"/>
              <w:right w:w="100" w:type="dxa"/>
            </w:tcMar>
            <w:vAlign w:val="center"/>
          </w:tcPr>
          <w:p w14:paraId="3187714A" w14:textId="77777777" w:rsidR="00C51332" w:rsidRPr="00D23AF2" w:rsidRDefault="00000000" w:rsidP="00D23AF2">
            <w:pPr>
              <w:spacing w:line="480" w:lineRule="auto"/>
              <w:rPr>
                <w:rFonts w:cs="Times New Roman"/>
              </w:rPr>
            </w:pPr>
            <w:r>
              <w:rPr>
                <w:rFonts w:cs="Times New Roman"/>
                <w:b/>
                <w:bCs/>
              </w:rPr>
              <w:t>Key Finding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960"/>
        <w:gridCol w:w="3200"/>
      </w:tblGrid>
      <w:tr w:rsidR="00A03EA4" w14:paraId="1D9D1E9E" w14:textId="77777777" w:rsidTr="0026085F">
        <w:tc>
          <w:tcPr>
            <w:tcW w:w="2000" w:type="dxa"/>
            <w:shd w:val="clear" w:color="auto" w:fill="auto"/>
            <w:tcMar>
              <w:top w:w="60" w:type="dxa"/>
              <w:left w:w="100" w:type="dxa"/>
              <w:bottom w:w="60" w:type="dxa"/>
              <w:right w:w="100" w:type="dxa"/>
            </w:tcMar>
            <w:vAlign w:val="center"/>
          </w:tcPr>
          <w:p w14:paraId="300901D9" w14:textId="77777777" w:rsidR="00C51332" w:rsidRPr="00D23AF2" w:rsidRDefault="00000000" w:rsidP="00D23AF2">
            <w:pPr>
              <w:spacing w:line="480" w:lineRule="auto"/>
              <w:rPr>
                <w:rFonts w:cs="Times New Roman"/>
              </w:rPr>
            </w:pPr>
            <w:r>
              <w:rPr>
                <w:rFonts w:cs="Times New Roman"/>
              </w:rPr>
              <w:t>Amiti et al. (2019)</w:t>
            </w:r>
          </w:p>
        </w:tc>
        <w:tc>
          <w:tcPr>
            <w:tcW w:w="2200" w:type="dxa"/>
            <w:shd w:val="clear" w:color="auto" w:fill="auto"/>
            <w:tcMar>
              <w:top w:w="60" w:type="dxa"/>
              <w:left w:w="100" w:type="dxa"/>
              <w:bottom w:w="60" w:type="dxa"/>
              <w:right w:w="100" w:type="dxa"/>
            </w:tcMar>
            <w:vAlign w:val="center"/>
          </w:tcPr>
          <w:p w14:paraId="6498ABEF" w14:textId="77777777" w:rsidR="00C51332" w:rsidRPr="00D23AF2" w:rsidRDefault="00000000" w:rsidP="00D23AF2">
            <w:pPr>
              <w:spacing w:line="480" w:lineRule="auto"/>
              <w:rPr>
                <w:rFonts w:cs="Times New Roman"/>
              </w:rPr>
            </w:pPr>
            <w:r>
              <w:rPr>
                <w:rFonts w:cs="Times New Roman"/>
              </w:rPr>
              <w:t>Import price microdata, 2018</w:t>
            </w:r>
          </w:p>
        </w:tc>
        <w:tc>
          <w:tcPr>
            <w:tcW w:w="1960" w:type="dxa"/>
            <w:shd w:val="clear" w:color="auto" w:fill="auto"/>
            <w:tcMar>
              <w:top w:w="60" w:type="dxa"/>
              <w:left w:w="100" w:type="dxa"/>
              <w:bottom w:w="60" w:type="dxa"/>
              <w:right w:w="100" w:type="dxa"/>
            </w:tcMar>
            <w:vAlign w:val="center"/>
          </w:tcPr>
          <w:p w14:paraId="5008E250" w14:textId="77777777" w:rsidR="00C51332" w:rsidRPr="00D23AF2" w:rsidRDefault="00000000" w:rsidP="00D23AF2">
            <w:pPr>
              <w:spacing w:line="480" w:lineRule="auto"/>
              <w:rPr>
                <w:rFonts w:cs="Times New Roman"/>
              </w:rPr>
            </w:pPr>
            <w:r>
              <w:rPr>
                <w:rFonts w:cs="Times New Roman"/>
              </w:rPr>
              <w:t>Passthrough</w:t>
            </w:r>
          </w:p>
        </w:tc>
        <w:tc>
          <w:tcPr>
            <w:tcW w:w="3200" w:type="dxa"/>
            <w:shd w:val="clear" w:color="auto" w:fill="auto"/>
            <w:tcMar>
              <w:top w:w="60" w:type="dxa"/>
              <w:left w:w="100" w:type="dxa"/>
              <w:bottom w:w="60" w:type="dxa"/>
              <w:right w:w="100" w:type="dxa"/>
            </w:tcMar>
            <w:vAlign w:val="center"/>
          </w:tcPr>
          <w:p w14:paraId="7FDF05E1" w14:textId="77777777" w:rsidR="00C51332" w:rsidRPr="00D23AF2" w:rsidRDefault="00000000" w:rsidP="00D23AF2">
            <w:pPr>
              <w:spacing w:line="480" w:lineRule="auto"/>
              <w:rPr>
                <w:rFonts w:cs="Times New Roman"/>
              </w:rPr>
            </w:pPr>
            <w:r w:rsidRPr="0026085F">
              <w:rPr>
                <w:rFonts w:ascii="Cambria Math" w:hAnsi="Cambria Math" w:cs="Times New Roman"/>
              </w:rPr>
              <w:t>φ ≈ 1</w:t>
            </w:r>
            <w:r>
              <w:rPr>
                <w:rFonts w:cs="Times New Roman"/>
              </w:rPr>
              <w:t>; full domestic incidence confirmed</w:t>
            </w:r>
          </w:p>
        </w:tc>
      </w:tr>
      <w:tr w:rsidR="00A03EA4" w14:paraId="00EDFC9E" w14:textId="77777777" w:rsidTr="0026085F">
        <w:tc>
          <w:tcPr>
            <w:tcW w:w="2000" w:type="dxa"/>
            <w:shd w:val="clear" w:color="auto" w:fill="auto"/>
            <w:tcMar>
              <w:top w:w="60" w:type="dxa"/>
              <w:left w:w="100" w:type="dxa"/>
              <w:bottom w:w="60" w:type="dxa"/>
              <w:right w:w="100" w:type="dxa"/>
            </w:tcMar>
            <w:vAlign w:val="center"/>
          </w:tcPr>
          <w:p w14:paraId="30170EA2" w14:textId="77777777" w:rsidR="00C51332" w:rsidRPr="00D23AF2" w:rsidRDefault="00000000" w:rsidP="00D23AF2">
            <w:pPr>
              <w:spacing w:line="480" w:lineRule="auto"/>
              <w:rPr>
                <w:rFonts w:cs="Times New Roman"/>
              </w:rPr>
            </w:pPr>
            <w:r>
              <w:rPr>
                <w:rFonts w:cs="Times New Roman"/>
              </w:rPr>
              <w:t>Fajgelbaum et al. (2020)</w:t>
            </w:r>
          </w:p>
        </w:tc>
        <w:tc>
          <w:tcPr>
            <w:tcW w:w="2200" w:type="dxa"/>
            <w:shd w:val="clear" w:color="auto" w:fill="auto"/>
            <w:tcMar>
              <w:top w:w="60" w:type="dxa"/>
              <w:left w:w="100" w:type="dxa"/>
              <w:bottom w:w="60" w:type="dxa"/>
              <w:right w:w="100" w:type="dxa"/>
            </w:tcMar>
            <w:vAlign w:val="center"/>
          </w:tcPr>
          <w:p w14:paraId="7F9920E2" w14:textId="77777777" w:rsidR="00C51332" w:rsidRPr="00D23AF2" w:rsidRDefault="00000000" w:rsidP="00D23AF2">
            <w:pPr>
              <w:spacing w:line="480" w:lineRule="auto"/>
              <w:rPr>
                <w:rFonts w:cs="Times New Roman"/>
              </w:rPr>
            </w:pPr>
            <w:r>
              <w:rPr>
                <w:rFonts w:cs="Times New Roman"/>
              </w:rPr>
              <w:t>CEX microdata</w:t>
            </w:r>
          </w:p>
        </w:tc>
        <w:tc>
          <w:tcPr>
            <w:tcW w:w="1960" w:type="dxa"/>
            <w:shd w:val="clear" w:color="auto" w:fill="auto"/>
            <w:tcMar>
              <w:top w:w="60" w:type="dxa"/>
              <w:left w:w="100" w:type="dxa"/>
              <w:bottom w:w="60" w:type="dxa"/>
              <w:right w:w="100" w:type="dxa"/>
            </w:tcMar>
            <w:vAlign w:val="center"/>
          </w:tcPr>
          <w:p w14:paraId="308F7B9C" w14:textId="77777777" w:rsidR="00C51332" w:rsidRPr="00D23AF2" w:rsidRDefault="00000000" w:rsidP="00D23AF2">
            <w:pPr>
              <w:spacing w:line="480" w:lineRule="auto"/>
              <w:rPr>
                <w:rFonts w:cs="Times New Roman"/>
              </w:rPr>
            </w:pPr>
            <w:r>
              <w:rPr>
                <w:rFonts w:cs="Times New Roman"/>
              </w:rPr>
              <w:t>Expenditure shares</w:t>
            </w:r>
          </w:p>
        </w:tc>
        <w:tc>
          <w:tcPr>
            <w:tcW w:w="3200" w:type="dxa"/>
            <w:shd w:val="clear" w:color="auto" w:fill="auto"/>
            <w:tcMar>
              <w:top w:w="60" w:type="dxa"/>
              <w:left w:w="100" w:type="dxa"/>
              <w:bottom w:w="60" w:type="dxa"/>
              <w:right w:w="100" w:type="dxa"/>
            </w:tcMar>
            <w:vAlign w:val="center"/>
          </w:tcPr>
          <w:p w14:paraId="0B85CCBE" w14:textId="77777777" w:rsidR="00C51332" w:rsidRPr="00D23AF2" w:rsidRDefault="00000000" w:rsidP="00D23AF2">
            <w:pPr>
              <w:spacing w:line="480" w:lineRule="auto"/>
              <w:rPr>
                <w:rFonts w:cs="Times New Roman"/>
              </w:rPr>
            </w:pPr>
            <w:r>
              <w:rPr>
                <w:rFonts w:cs="Times New Roman"/>
              </w:rPr>
              <w:t>Bottom quintile 14.2% vs top 6.1% in tariffed goods</w:t>
            </w:r>
          </w:p>
        </w:tc>
      </w:tr>
      <w:tr w:rsidR="00A03EA4" w14:paraId="4FA31E03" w14:textId="77777777" w:rsidTr="0026085F">
        <w:tc>
          <w:tcPr>
            <w:tcW w:w="2000" w:type="dxa"/>
            <w:shd w:val="clear" w:color="auto" w:fill="auto"/>
            <w:tcMar>
              <w:top w:w="60" w:type="dxa"/>
              <w:left w:w="100" w:type="dxa"/>
              <w:bottom w:w="60" w:type="dxa"/>
              <w:right w:w="100" w:type="dxa"/>
            </w:tcMar>
            <w:vAlign w:val="center"/>
          </w:tcPr>
          <w:p w14:paraId="1D7CC5B8" w14:textId="77777777" w:rsidR="00C51332" w:rsidRPr="00D23AF2" w:rsidRDefault="00000000" w:rsidP="00D23AF2">
            <w:pPr>
              <w:spacing w:line="480" w:lineRule="auto"/>
              <w:rPr>
                <w:rFonts w:cs="Times New Roman"/>
              </w:rPr>
            </w:pPr>
            <w:r>
              <w:rPr>
                <w:rFonts w:cs="Times New Roman"/>
              </w:rPr>
              <w:t>Carroll &amp; Hur (2023)</w:t>
            </w:r>
          </w:p>
        </w:tc>
        <w:tc>
          <w:tcPr>
            <w:tcW w:w="2200" w:type="dxa"/>
            <w:shd w:val="clear" w:color="auto" w:fill="auto"/>
            <w:tcMar>
              <w:top w:w="60" w:type="dxa"/>
              <w:left w:w="100" w:type="dxa"/>
              <w:bottom w:w="60" w:type="dxa"/>
              <w:right w:w="100" w:type="dxa"/>
            </w:tcMar>
            <w:vAlign w:val="center"/>
          </w:tcPr>
          <w:p w14:paraId="56B9D54C" w14:textId="77777777" w:rsidR="00C51332" w:rsidRPr="00D23AF2" w:rsidRDefault="00000000" w:rsidP="00D23AF2">
            <w:pPr>
              <w:spacing w:line="480" w:lineRule="auto"/>
              <w:rPr>
                <w:rFonts w:cs="Times New Roman"/>
              </w:rPr>
            </w:pPr>
            <w:r>
              <w:rPr>
                <w:rFonts w:cs="Times New Roman"/>
              </w:rPr>
              <w:t>Quantitative trade model</w:t>
            </w:r>
          </w:p>
        </w:tc>
        <w:tc>
          <w:tcPr>
            <w:tcW w:w="1960" w:type="dxa"/>
            <w:shd w:val="clear" w:color="auto" w:fill="auto"/>
            <w:tcMar>
              <w:top w:w="60" w:type="dxa"/>
              <w:left w:w="100" w:type="dxa"/>
              <w:bottom w:w="60" w:type="dxa"/>
              <w:right w:w="100" w:type="dxa"/>
            </w:tcMar>
            <w:vAlign w:val="center"/>
          </w:tcPr>
          <w:p w14:paraId="323899F4" w14:textId="77777777" w:rsidR="00C51332" w:rsidRPr="00D23AF2" w:rsidRDefault="00000000" w:rsidP="00D23AF2">
            <w:pPr>
              <w:spacing w:line="480" w:lineRule="auto"/>
              <w:rPr>
                <w:rFonts w:cs="Times New Roman"/>
              </w:rPr>
            </w:pPr>
            <w:r>
              <w:rPr>
                <w:rFonts w:cs="Times New Roman"/>
              </w:rPr>
              <w:t>GE distributional</w:t>
            </w:r>
          </w:p>
        </w:tc>
        <w:tc>
          <w:tcPr>
            <w:tcW w:w="3200" w:type="dxa"/>
            <w:shd w:val="clear" w:color="auto" w:fill="auto"/>
            <w:tcMar>
              <w:top w:w="60" w:type="dxa"/>
              <w:left w:w="100" w:type="dxa"/>
              <w:bottom w:w="60" w:type="dxa"/>
              <w:right w:w="100" w:type="dxa"/>
            </w:tcMar>
            <w:vAlign w:val="center"/>
          </w:tcPr>
          <w:p w14:paraId="4076FB36" w14:textId="7EF7F58D" w:rsidR="00C51332" w:rsidRPr="00D23AF2" w:rsidRDefault="00000000" w:rsidP="00D23AF2">
            <w:pPr>
              <w:spacing w:line="480" w:lineRule="auto"/>
              <w:rPr>
                <w:rFonts w:cs="Times New Roman"/>
              </w:rPr>
            </w:pPr>
            <w:r>
              <w:rPr>
                <w:rFonts w:cs="Times New Roman"/>
              </w:rPr>
              <w:t xml:space="preserve">Expenditure channel dominates wage channel </w:t>
            </w:r>
            <w:r w:rsidR="0026085F">
              <w:rPr>
                <w:rFonts w:cs="Times New Roman"/>
              </w:rPr>
              <w:t>short run</w:t>
            </w:r>
          </w:p>
        </w:tc>
      </w:tr>
      <w:tr w:rsidR="00A03EA4" w14:paraId="40FB29D0" w14:textId="77777777" w:rsidTr="0026085F">
        <w:tc>
          <w:tcPr>
            <w:tcW w:w="2000" w:type="dxa"/>
            <w:shd w:val="clear" w:color="auto" w:fill="auto"/>
            <w:tcMar>
              <w:top w:w="60" w:type="dxa"/>
              <w:left w:w="100" w:type="dxa"/>
              <w:bottom w:w="60" w:type="dxa"/>
              <w:right w:w="100" w:type="dxa"/>
            </w:tcMar>
            <w:vAlign w:val="center"/>
          </w:tcPr>
          <w:p w14:paraId="43F85FAE" w14:textId="77777777" w:rsidR="00C51332" w:rsidRPr="00D23AF2" w:rsidRDefault="00000000" w:rsidP="00D23AF2">
            <w:pPr>
              <w:spacing w:line="480" w:lineRule="auto"/>
              <w:rPr>
                <w:rFonts w:cs="Times New Roman"/>
              </w:rPr>
            </w:pPr>
            <w:r>
              <w:rPr>
                <w:rFonts w:cs="Times New Roman"/>
              </w:rPr>
              <w:lastRenderedPageBreak/>
              <w:t>Furceri et al. (2019)</w:t>
            </w:r>
          </w:p>
        </w:tc>
        <w:tc>
          <w:tcPr>
            <w:tcW w:w="2200" w:type="dxa"/>
            <w:shd w:val="clear" w:color="auto" w:fill="auto"/>
            <w:tcMar>
              <w:top w:w="60" w:type="dxa"/>
              <w:left w:w="100" w:type="dxa"/>
              <w:bottom w:w="60" w:type="dxa"/>
              <w:right w:w="100" w:type="dxa"/>
            </w:tcMar>
            <w:vAlign w:val="center"/>
          </w:tcPr>
          <w:p w14:paraId="2A7B7572" w14:textId="281DB66E" w:rsidR="00C51332" w:rsidRPr="00D23AF2" w:rsidRDefault="00000000" w:rsidP="00D23AF2">
            <w:pPr>
              <w:spacing w:line="480" w:lineRule="auto"/>
              <w:rPr>
                <w:rFonts w:cs="Times New Roman"/>
              </w:rPr>
            </w:pPr>
            <w:r>
              <w:rPr>
                <w:rFonts w:cs="Times New Roman"/>
              </w:rPr>
              <w:t>151country panel, 1963–2014</w:t>
            </w:r>
          </w:p>
        </w:tc>
        <w:tc>
          <w:tcPr>
            <w:tcW w:w="1960" w:type="dxa"/>
            <w:shd w:val="clear" w:color="auto" w:fill="auto"/>
            <w:tcMar>
              <w:top w:w="60" w:type="dxa"/>
              <w:left w:w="100" w:type="dxa"/>
              <w:bottom w:w="60" w:type="dxa"/>
              <w:right w:w="100" w:type="dxa"/>
            </w:tcMar>
            <w:vAlign w:val="center"/>
          </w:tcPr>
          <w:p w14:paraId="5D556B15" w14:textId="77777777" w:rsidR="00C51332" w:rsidRPr="00D23AF2" w:rsidRDefault="00000000" w:rsidP="00D23AF2">
            <w:pPr>
              <w:spacing w:line="480" w:lineRule="auto"/>
              <w:rPr>
                <w:rFonts w:cs="Times New Roman"/>
              </w:rPr>
            </w:pPr>
            <w:r>
              <w:rPr>
                <w:rFonts w:cs="Times New Roman"/>
              </w:rPr>
              <w:t>Inequality channel</w:t>
            </w:r>
          </w:p>
        </w:tc>
        <w:tc>
          <w:tcPr>
            <w:tcW w:w="3200" w:type="dxa"/>
            <w:shd w:val="clear" w:color="auto" w:fill="auto"/>
            <w:tcMar>
              <w:top w:w="60" w:type="dxa"/>
              <w:left w:w="100" w:type="dxa"/>
              <w:bottom w:w="60" w:type="dxa"/>
              <w:right w:w="100" w:type="dxa"/>
            </w:tcMar>
            <w:vAlign w:val="center"/>
          </w:tcPr>
          <w:p w14:paraId="30F9E836" w14:textId="77777777" w:rsidR="00C51332" w:rsidRPr="00D23AF2" w:rsidRDefault="00000000" w:rsidP="00D23AF2">
            <w:pPr>
              <w:spacing w:line="480" w:lineRule="auto"/>
              <w:rPr>
                <w:rFonts w:cs="Times New Roman"/>
              </w:rPr>
            </w:pPr>
            <w:r>
              <w:rPr>
                <w:rFonts w:cs="Times New Roman"/>
              </w:rPr>
              <w:t>Tariffs raise Gini in advanced economies</w:t>
            </w:r>
          </w:p>
        </w:tc>
      </w:tr>
      <w:tr w:rsidR="00A03EA4" w14:paraId="0939C6A8" w14:textId="77777777" w:rsidTr="0026085F">
        <w:tc>
          <w:tcPr>
            <w:tcW w:w="2000" w:type="dxa"/>
            <w:shd w:val="clear" w:color="auto" w:fill="auto"/>
            <w:tcMar>
              <w:top w:w="60" w:type="dxa"/>
              <w:left w:w="100" w:type="dxa"/>
              <w:bottom w:w="60" w:type="dxa"/>
              <w:right w:w="100" w:type="dxa"/>
            </w:tcMar>
            <w:vAlign w:val="center"/>
          </w:tcPr>
          <w:p w14:paraId="168C96E2" w14:textId="77777777" w:rsidR="00C51332" w:rsidRPr="00D23AF2" w:rsidRDefault="00000000" w:rsidP="00D23AF2">
            <w:pPr>
              <w:spacing w:line="480" w:lineRule="auto"/>
              <w:rPr>
                <w:rFonts w:cs="Times New Roman"/>
              </w:rPr>
            </w:pPr>
            <w:r>
              <w:rPr>
                <w:rFonts w:cs="Times New Roman"/>
              </w:rPr>
              <w:t>Lakatos et al. (2019)</w:t>
            </w:r>
          </w:p>
        </w:tc>
        <w:tc>
          <w:tcPr>
            <w:tcW w:w="2200" w:type="dxa"/>
            <w:shd w:val="clear" w:color="auto" w:fill="auto"/>
            <w:tcMar>
              <w:top w:w="60" w:type="dxa"/>
              <w:left w:w="100" w:type="dxa"/>
              <w:bottom w:w="60" w:type="dxa"/>
              <w:right w:w="100" w:type="dxa"/>
            </w:tcMar>
            <w:vAlign w:val="center"/>
          </w:tcPr>
          <w:p w14:paraId="2A850E61" w14:textId="16EC687D" w:rsidR="00C51332" w:rsidRPr="00D23AF2" w:rsidRDefault="00000000" w:rsidP="00D23AF2">
            <w:pPr>
              <w:spacing w:line="480" w:lineRule="auto"/>
              <w:rPr>
                <w:rFonts w:cs="Times New Roman"/>
              </w:rPr>
            </w:pPr>
            <w:r>
              <w:rPr>
                <w:rFonts w:cs="Times New Roman"/>
              </w:rPr>
              <w:t>107country household surveys</w:t>
            </w:r>
          </w:p>
        </w:tc>
        <w:tc>
          <w:tcPr>
            <w:tcW w:w="1960" w:type="dxa"/>
            <w:shd w:val="clear" w:color="auto" w:fill="auto"/>
            <w:tcMar>
              <w:top w:w="60" w:type="dxa"/>
              <w:left w:w="100" w:type="dxa"/>
              <w:bottom w:w="60" w:type="dxa"/>
              <w:right w:w="100" w:type="dxa"/>
            </w:tcMar>
            <w:vAlign w:val="center"/>
          </w:tcPr>
          <w:p w14:paraId="4D857482" w14:textId="77777777" w:rsidR="00C51332" w:rsidRPr="00D23AF2" w:rsidRDefault="00000000" w:rsidP="00D23AF2">
            <w:pPr>
              <w:spacing w:line="480" w:lineRule="auto"/>
              <w:rPr>
                <w:rFonts w:cs="Times New Roman"/>
              </w:rPr>
            </w:pPr>
            <w:r>
              <w:rPr>
                <w:rFonts w:cs="Times New Roman"/>
              </w:rPr>
              <w:t>Expenditure weight</w:t>
            </w:r>
          </w:p>
        </w:tc>
        <w:tc>
          <w:tcPr>
            <w:tcW w:w="3200" w:type="dxa"/>
            <w:shd w:val="clear" w:color="auto" w:fill="auto"/>
            <w:tcMar>
              <w:top w:w="60" w:type="dxa"/>
              <w:left w:w="100" w:type="dxa"/>
              <w:bottom w:w="60" w:type="dxa"/>
              <w:right w:w="100" w:type="dxa"/>
            </w:tcMar>
            <w:vAlign w:val="center"/>
          </w:tcPr>
          <w:p w14:paraId="13D36DD4" w14:textId="77777777" w:rsidR="00C51332" w:rsidRPr="00D23AF2" w:rsidRDefault="00000000" w:rsidP="00D23AF2">
            <w:pPr>
              <w:spacing w:line="480" w:lineRule="auto"/>
              <w:rPr>
                <w:rFonts w:cs="Times New Roman"/>
              </w:rPr>
            </w:pPr>
            <w:r>
              <w:rPr>
                <w:rFonts w:cs="Times New Roman"/>
              </w:rPr>
              <w:t>Tariffs regressive in 90%+ of countries</w:t>
            </w:r>
          </w:p>
        </w:tc>
      </w:tr>
      <w:tr w:rsidR="00A03EA4" w14:paraId="39BAFFB9" w14:textId="77777777" w:rsidTr="0026085F">
        <w:tc>
          <w:tcPr>
            <w:tcW w:w="2000" w:type="dxa"/>
            <w:shd w:val="clear" w:color="auto" w:fill="auto"/>
            <w:tcMar>
              <w:top w:w="60" w:type="dxa"/>
              <w:left w:w="100" w:type="dxa"/>
              <w:bottom w:w="60" w:type="dxa"/>
              <w:right w:w="100" w:type="dxa"/>
            </w:tcMar>
            <w:vAlign w:val="center"/>
          </w:tcPr>
          <w:p w14:paraId="12AD1CA0" w14:textId="77777777" w:rsidR="00C51332" w:rsidRPr="00D23AF2" w:rsidRDefault="00000000" w:rsidP="00D23AF2">
            <w:pPr>
              <w:spacing w:line="480" w:lineRule="auto"/>
              <w:rPr>
                <w:rFonts w:cs="Times New Roman"/>
              </w:rPr>
            </w:pPr>
            <w:r>
              <w:rPr>
                <w:rFonts w:cs="Times New Roman"/>
              </w:rPr>
              <w:t>Clausing &amp; Lovely (2024)</w:t>
            </w:r>
          </w:p>
        </w:tc>
        <w:tc>
          <w:tcPr>
            <w:tcW w:w="2200" w:type="dxa"/>
            <w:shd w:val="clear" w:color="auto" w:fill="auto"/>
            <w:tcMar>
              <w:top w:w="60" w:type="dxa"/>
              <w:left w:w="100" w:type="dxa"/>
              <w:bottom w:w="60" w:type="dxa"/>
              <w:right w:w="100" w:type="dxa"/>
            </w:tcMar>
            <w:vAlign w:val="center"/>
          </w:tcPr>
          <w:p w14:paraId="162FE285" w14:textId="77777777" w:rsidR="00C51332" w:rsidRPr="00D23AF2" w:rsidRDefault="00000000" w:rsidP="00D23AF2">
            <w:pPr>
              <w:spacing w:line="480" w:lineRule="auto"/>
              <w:rPr>
                <w:rFonts w:cs="Times New Roman"/>
              </w:rPr>
            </w:pPr>
            <w:r>
              <w:rPr>
                <w:rFonts w:cs="Times New Roman"/>
              </w:rPr>
              <w:t>PIIE policy projections</w:t>
            </w:r>
          </w:p>
        </w:tc>
        <w:tc>
          <w:tcPr>
            <w:tcW w:w="1960" w:type="dxa"/>
            <w:shd w:val="clear" w:color="auto" w:fill="auto"/>
            <w:tcMar>
              <w:top w:w="60" w:type="dxa"/>
              <w:left w:w="100" w:type="dxa"/>
              <w:bottom w:w="60" w:type="dxa"/>
              <w:right w:w="100" w:type="dxa"/>
            </w:tcMar>
            <w:vAlign w:val="center"/>
          </w:tcPr>
          <w:p w14:paraId="4611CB3A" w14:textId="77777777" w:rsidR="00C51332" w:rsidRPr="00D23AF2" w:rsidRDefault="00000000" w:rsidP="00D23AF2">
            <w:pPr>
              <w:spacing w:line="480" w:lineRule="auto"/>
              <w:rPr>
                <w:rFonts w:cs="Times New Roman"/>
              </w:rPr>
            </w:pPr>
            <w:r>
              <w:rPr>
                <w:rFonts w:cs="Times New Roman"/>
              </w:rPr>
              <w:t>Necessity goods</w:t>
            </w:r>
          </w:p>
        </w:tc>
        <w:tc>
          <w:tcPr>
            <w:tcW w:w="3200" w:type="dxa"/>
            <w:shd w:val="clear" w:color="auto" w:fill="auto"/>
            <w:tcMar>
              <w:top w:w="60" w:type="dxa"/>
              <w:left w:w="100" w:type="dxa"/>
              <w:bottom w:w="60" w:type="dxa"/>
              <w:right w:w="100" w:type="dxa"/>
            </w:tcMar>
            <w:vAlign w:val="center"/>
          </w:tcPr>
          <w:p w14:paraId="33AE51C7" w14:textId="77777777" w:rsidR="00C51332" w:rsidRPr="00D23AF2" w:rsidRDefault="00000000" w:rsidP="00D23AF2">
            <w:pPr>
              <w:spacing w:line="480" w:lineRule="auto"/>
              <w:rPr>
                <w:rFonts w:cs="Times New Roman"/>
              </w:rPr>
            </w:pPr>
            <w:r>
              <w:rPr>
                <w:rFonts w:cs="Times New Roman"/>
              </w:rPr>
              <w:t>2025 tariffs concentrate on apparel, footwear, food</w:t>
            </w:r>
          </w:p>
        </w:tc>
      </w:tr>
    </w:tbl>
    <w:p w14:paraId="02F60857" w14:textId="77777777" w:rsidR="00C51332" w:rsidRPr="00D23AF2" w:rsidRDefault="00000000" w:rsidP="00D23AF2">
      <w:pPr>
        <w:spacing w:before="60" w:after="60" w:line="480" w:lineRule="auto"/>
        <w:rPr>
          <w:rFonts w:cs="Times New Roman"/>
        </w:rPr>
      </w:pPr>
      <w:r w:rsidRPr="0026085F">
        <w:rPr>
          <w:rFonts w:cs="Times New Roman"/>
        </w:rPr>
        <w:t>Source: Author compilation</w:t>
      </w:r>
      <w:r>
        <w:rPr>
          <w:rFonts w:cs="Times New Roman"/>
          <w:i/>
          <w:iCs/>
        </w:rPr>
        <w:t>.</w:t>
      </w:r>
    </w:p>
    <w:p w14:paraId="33AA9A71" w14:textId="77777777" w:rsidR="00C51332" w:rsidRPr="00D23AF2" w:rsidRDefault="00C51332" w:rsidP="00D23AF2">
      <w:pPr>
        <w:spacing w:before="80" w:line="480" w:lineRule="auto"/>
        <w:rPr>
          <w:rFonts w:cs="Times New Roman"/>
        </w:rPr>
      </w:pPr>
    </w:p>
    <w:p w14:paraId="32F3BAAB" w14:textId="77777777" w:rsidR="00C51332" w:rsidRPr="00D23AF2" w:rsidRDefault="00000000" w:rsidP="00D23AF2">
      <w:pPr>
        <w:spacing w:before="240" w:after="120" w:line="480" w:lineRule="auto"/>
        <w:rPr>
          <w:rFonts w:cs="Times New Roman"/>
        </w:rPr>
      </w:pPr>
      <w:r>
        <w:rPr>
          <w:rFonts w:cs="Times New Roman"/>
          <w:b/>
          <w:bCs/>
        </w:rPr>
        <w:t>3.  THEORETICAL FRAMEWORK</w:t>
      </w:r>
    </w:p>
    <w:p w14:paraId="4B4D05E4" w14:textId="6EA19ED1" w:rsidR="00C51332" w:rsidRPr="00D23AF2" w:rsidRDefault="00000000" w:rsidP="00D23AF2">
      <w:pPr>
        <w:spacing w:before="100" w:after="80" w:line="480" w:lineRule="auto"/>
        <w:rPr>
          <w:rFonts w:cs="Times New Roman"/>
        </w:rPr>
      </w:pPr>
      <w:r>
        <w:rPr>
          <w:rFonts w:cs="Times New Roman"/>
        </w:rPr>
        <w:t xml:space="preserve">This section develops the accounting framework for </w:t>
      </w:r>
      <w:r w:rsidR="0026085F">
        <w:rPr>
          <w:rFonts w:cs="Times New Roman"/>
        </w:rPr>
        <w:t>quintile specific</w:t>
      </w:r>
      <w:r>
        <w:rPr>
          <w:rFonts w:cs="Times New Roman"/>
        </w:rPr>
        <w:t xml:space="preserve"> tariff incidence and derives the conditions under which uniform tariffs generate regressive outcomes.</w:t>
      </w:r>
    </w:p>
    <w:p w14:paraId="64E7D883" w14:textId="77777777" w:rsidR="00C51332" w:rsidRPr="00D23AF2" w:rsidRDefault="00000000" w:rsidP="00D23AF2">
      <w:pPr>
        <w:spacing w:before="100" w:after="80" w:line="480" w:lineRule="auto"/>
        <w:rPr>
          <w:rFonts w:cs="Times New Roman"/>
        </w:rPr>
      </w:pPr>
      <w:r>
        <w:rPr>
          <w:rFonts w:cs="Times New Roman"/>
          <w:b/>
          <w:bCs/>
        </w:rPr>
        <w:t>3.1  Passthrough and Price Wedges</w:t>
      </w:r>
    </w:p>
    <w:p w14:paraId="2D6A0DE1" w14:textId="1AA6EC6B" w:rsidR="00C51332" w:rsidRPr="00D23AF2" w:rsidRDefault="00000000" w:rsidP="00D23AF2">
      <w:pPr>
        <w:spacing w:before="100" w:after="80" w:line="480" w:lineRule="auto"/>
        <w:rPr>
          <w:rFonts w:cs="Times New Roman"/>
        </w:rPr>
      </w:pPr>
      <w:r>
        <w:rPr>
          <w:rFonts w:cs="Times New Roman"/>
        </w:rPr>
        <w:t xml:space="preserve">Let </w:t>
      </w:r>
      <w:r w:rsidRPr="0026085F">
        <w:rPr>
          <w:rFonts w:ascii="Cambria Math" w:hAnsi="Cambria Math" w:cs="Times New Roman"/>
        </w:rPr>
        <w:t>τᵢ</w:t>
      </w:r>
      <w:r>
        <w:rPr>
          <w:rFonts w:cs="Times New Roman"/>
        </w:rPr>
        <w:t xml:space="preserve"> denote the ad valorem tariff rate on good i. Under complete passthrough, the domestic retail price of good i rises by </w:t>
      </w:r>
      <w:r w:rsidRPr="0026085F">
        <w:rPr>
          <w:rFonts w:ascii="Cambria Math" w:hAnsi="Cambria Math" w:cs="Times New Roman"/>
        </w:rPr>
        <w:t>τᵢ</w:t>
      </w:r>
      <w:r>
        <w:rPr>
          <w:rFonts w:cs="Times New Roman"/>
        </w:rPr>
        <w:t xml:space="preserve"> relative to the world price. Following Amiti et al. (2019), complete passthrough is maintained for goods where import competition is limited and domestic production is inelastic in the short run</w:t>
      </w:r>
      <w:r w:rsidR="0026085F">
        <w:rPr>
          <w:rFonts w:cs="Times New Roman"/>
        </w:rPr>
        <w:t xml:space="preserve"> </w:t>
      </w:r>
      <w:r>
        <w:rPr>
          <w:rFonts w:cs="Times New Roman"/>
        </w:rPr>
        <w:t>conditions that hold for apparel, footwear, and food categories facing 2025 tariff rates. Figure 2 maps the market linkages and price wedges generated between home, world, and foreign markets under an import duty regime.</w:t>
      </w:r>
    </w:p>
    <w:p w14:paraId="58A346FB" w14:textId="77777777" w:rsidR="00C51332" w:rsidRPr="00D23AF2" w:rsidRDefault="00000000" w:rsidP="00D23AF2">
      <w:pPr>
        <w:spacing w:before="120" w:after="60" w:line="480" w:lineRule="auto"/>
        <w:jc w:val="center"/>
        <w:rPr>
          <w:rFonts w:cs="Times New Roman"/>
        </w:rPr>
      </w:pPr>
      <w:r>
        <w:rPr>
          <w:rFonts w:cs="Times New Roman"/>
          <w:noProof/>
        </w:rPr>
        <w:lastRenderedPageBreak/>
        <w:drawing>
          <wp:inline distT="0" distB="0" distL="0" distR="0" wp14:anchorId="153F1427" wp14:editId="2FF4DA0F">
            <wp:extent cx="4762500" cy="3571875"/>
            <wp:effectExtent l="0" t="0" r="0" b="0"/>
            <wp:docPr id="180274240" name="Picture 18027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571875"/>
                    </a:xfrm>
                    <a:prstGeom prst="rect">
                      <a:avLst/>
                    </a:prstGeom>
                  </pic:spPr>
                </pic:pic>
              </a:graphicData>
            </a:graphic>
          </wp:inline>
        </w:drawing>
      </w:r>
    </w:p>
    <w:p w14:paraId="0AE6E7A6" w14:textId="47CFDC71" w:rsidR="00C51332" w:rsidRPr="0026085F" w:rsidRDefault="00000000" w:rsidP="00D23AF2">
      <w:pPr>
        <w:spacing w:before="40" w:after="160" w:line="480" w:lineRule="auto"/>
        <w:jc w:val="center"/>
        <w:rPr>
          <w:rFonts w:cs="Times New Roman"/>
        </w:rPr>
      </w:pPr>
      <w:r w:rsidRPr="0026085F">
        <w:rPr>
          <w:rFonts w:cs="Times New Roman"/>
        </w:rPr>
        <w:t>Figure 2. Home</w:t>
      </w:r>
      <w:r w:rsidR="0026085F" w:rsidRPr="0026085F">
        <w:rPr>
          <w:rFonts w:cs="Times New Roman"/>
        </w:rPr>
        <w:t xml:space="preserve"> World Foreign</w:t>
      </w:r>
      <w:r w:rsidRPr="0026085F">
        <w:rPr>
          <w:rFonts w:cs="Times New Roman"/>
        </w:rPr>
        <w:t xml:space="preserve"> Market Linkages Under an Import Duty Regime. Source: Amiti, Redding, and Weinstein (2019</w:t>
      </w:r>
      <w:r w:rsidR="0026085F">
        <w:rPr>
          <w:rFonts w:cs="Times New Roman"/>
        </w:rPr>
        <w:t>)</w:t>
      </w:r>
      <w:r w:rsidRPr="0026085F">
        <w:rPr>
          <w:rFonts w:cs="Times New Roman"/>
        </w:rPr>
        <w:t>.</w:t>
      </w:r>
    </w:p>
    <w:p w14:paraId="57518453" w14:textId="77777777" w:rsidR="00C51332" w:rsidRPr="00D23AF2" w:rsidRDefault="00000000" w:rsidP="00D23AF2">
      <w:pPr>
        <w:spacing w:before="100" w:after="80" w:line="480" w:lineRule="auto"/>
        <w:rPr>
          <w:rFonts w:cs="Times New Roman"/>
        </w:rPr>
      </w:pPr>
      <w:r>
        <w:rPr>
          <w:rFonts w:cs="Times New Roman"/>
          <w:b/>
          <w:bCs/>
        </w:rPr>
        <w:t>3.2  Quintile Incidence Formula</w:t>
      </w:r>
    </w:p>
    <w:p w14:paraId="6D4E46C1" w14:textId="0BFE73CB" w:rsidR="00C51332" w:rsidRPr="00D23AF2" w:rsidRDefault="00000000" w:rsidP="00D23AF2">
      <w:pPr>
        <w:spacing w:before="100" w:after="80" w:line="480" w:lineRule="auto"/>
        <w:rPr>
          <w:rFonts w:cs="Times New Roman"/>
        </w:rPr>
      </w:pPr>
      <w:r>
        <w:rPr>
          <w:rFonts w:cs="Times New Roman"/>
        </w:rPr>
        <w:t xml:space="preserve">Let </w:t>
      </w:r>
      <w:r w:rsidRPr="0026085F">
        <w:rPr>
          <w:rFonts w:ascii="Cambria Math" w:hAnsi="Cambria Math" w:cs="Times New Roman"/>
        </w:rPr>
        <w:t>sᵢᵢ</w:t>
      </w:r>
      <w:r>
        <w:rPr>
          <w:rFonts w:cs="Times New Roman"/>
        </w:rPr>
        <w:t xml:space="preserve"> denote the expenditure share of good i for income quintile q, and let </w:t>
      </w:r>
      <w:r w:rsidRPr="0026085F">
        <w:rPr>
          <w:rFonts w:ascii="Cambria Math" w:hAnsi="Cambria Math" w:cs="Times New Roman"/>
        </w:rPr>
        <w:t>Ω</w:t>
      </w:r>
      <w:r>
        <w:rPr>
          <w:rFonts w:cs="Times New Roman"/>
        </w:rPr>
        <w:t xml:space="preserve"> denote the set of tariffed goods. The welfare loss for quintile q, expressed as a share of income y_q, is:</w:t>
      </w:r>
    </w:p>
    <w:p w14:paraId="6EFD5BD0" w14:textId="77777777" w:rsidR="00C51332" w:rsidRPr="0026085F" w:rsidRDefault="00000000" w:rsidP="00D23AF2">
      <w:pPr>
        <w:spacing w:before="100" w:after="100" w:line="480" w:lineRule="auto"/>
        <w:jc w:val="center"/>
        <w:rPr>
          <w:rFonts w:ascii="Cambria Math" w:hAnsi="Cambria Math" w:cs="Times New Roman"/>
        </w:rPr>
      </w:pPr>
      <w:r w:rsidRPr="0026085F">
        <w:rPr>
          <w:rFonts w:ascii="Cambria Math" w:hAnsi="Cambria Math" w:cs="Times New Roman"/>
        </w:rPr>
        <w:t>δᵢ = (1/yᵢ) × Σᵢ</w:t>
      </w:r>
      <w:r w:rsidRPr="0026085F">
        <w:rPr>
          <w:rFonts w:ascii="Cambria Math" w:hAnsi="Cambria Math" w:cs="Cambria Math"/>
        </w:rPr>
        <w:t>∈</w:t>
      </w:r>
      <w:r w:rsidRPr="0026085F">
        <w:rPr>
          <w:rFonts w:ascii="Cambria Math" w:hAnsi="Cambria Math" w:cs="Times New Roman"/>
        </w:rPr>
        <w:t>Ω (τᵢ × sᵢᵢ × cᵢ)</w:t>
      </w:r>
    </w:p>
    <w:p w14:paraId="08B82497" w14:textId="42901633" w:rsidR="00C51332" w:rsidRPr="00D23AF2" w:rsidRDefault="00000000" w:rsidP="00D23AF2">
      <w:pPr>
        <w:spacing w:before="100" w:after="80" w:line="480" w:lineRule="auto"/>
        <w:rPr>
          <w:rFonts w:cs="Times New Roman"/>
        </w:rPr>
      </w:pPr>
      <w:r>
        <w:rPr>
          <w:rFonts w:cs="Times New Roman"/>
        </w:rPr>
        <w:t xml:space="preserve">where c_q is total consumption expenditure of quintile q. Regressivity arises when δᵢ is decreasing in q. This holds if and only if tariffed goods are necessities in the Engel sense: their expenditure share sᵢᵢ declines as income rises. Apparel, footwear, and food satisfy this condition robustly in U.S. CEX data (Fajgelbaum et al. 2020). The partial equilibrium welfare decomposition is illustrated in Figure 3, which shows how consumer surplus destruction (areas a+b+c+d) systematically exceeds the </w:t>
      </w:r>
      <w:r>
        <w:rPr>
          <w:rFonts w:cs="Times New Roman"/>
        </w:rPr>
        <w:lastRenderedPageBreak/>
        <w:t xml:space="preserve">combined gains from domestic producer surplus (a) and government tariff revenue (c), leaving net deadweight loss (b+d) borne disproportionately by </w:t>
      </w:r>
      <w:r w:rsidR="0026085F">
        <w:rPr>
          <w:rFonts w:cs="Times New Roman"/>
        </w:rPr>
        <w:t>low income</w:t>
      </w:r>
      <w:r>
        <w:rPr>
          <w:rFonts w:cs="Times New Roman"/>
        </w:rPr>
        <w:t xml:space="preserve"> consumers.</w:t>
      </w:r>
    </w:p>
    <w:p w14:paraId="1B60693C" w14:textId="77777777" w:rsidR="00C51332" w:rsidRPr="00D23AF2" w:rsidRDefault="00000000" w:rsidP="00D23AF2">
      <w:pPr>
        <w:spacing w:before="120" w:after="60" w:line="480" w:lineRule="auto"/>
        <w:jc w:val="center"/>
        <w:rPr>
          <w:rFonts w:cs="Times New Roman"/>
        </w:rPr>
      </w:pPr>
      <w:r>
        <w:rPr>
          <w:rFonts w:cs="Times New Roman"/>
          <w:noProof/>
        </w:rPr>
        <w:drawing>
          <wp:inline distT="0" distB="0" distL="0" distR="0" wp14:anchorId="5F5E4CA3" wp14:editId="3FAEE53A">
            <wp:extent cx="4191000" cy="3143250"/>
            <wp:effectExtent l="0" t="0" r="0" b="0"/>
            <wp:docPr id="847872560" name="Picture 84787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143250"/>
                    </a:xfrm>
                    <a:prstGeom prst="rect">
                      <a:avLst/>
                    </a:prstGeom>
                  </pic:spPr>
                </pic:pic>
              </a:graphicData>
            </a:graphic>
          </wp:inline>
        </w:drawing>
      </w:r>
    </w:p>
    <w:p w14:paraId="5CB1D4FF" w14:textId="77777777" w:rsidR="00C51332" w:rsidRPr="00D23AF2" w:rsidRDefault="00000000" w:rsidP="00D23AF2">
      <w:pPr>
        <w:spacing w:before="40" w:after="160" w:line="480" w:lineRule="auto"/>
        <w:jc w:val="center"/>
        <w:rPr>
          <w:rFonts w:cs="Times New Roman"/>
        </w:rPr>
      </w:pPr>
      <w:r w:rsidRPr="0026085F">
        <w:rPr>
          <w:rFonts w:cs="Times New Roman"/>
        </w:rPr>
        <w:t>Figure 3. Partial Equilibrium Welfare Decomposition Under a Tariff. Source: Author compilation based on standard partial equilibrium trade theory</w:t>
      </w:r>
      <w:r>
        <w:rPr>
          <w:rFonts w:cs="Times New Roman"/>
          <w:i/>
          <w:iCs/>
        </w:rPr>
        <w:t>.</w:t>
      </w:r>
    </w:p>
    <w:p w14:paraId="2D452F4D" w14:textId="77777777" w:rsidR="00C51332" w:rsidRPr="00D23AF2" w:rsidRDefault="00000000" w:rsidP="00D23AF2">
      <w:pPr>
        <w:spacing w:before="100" w:after="80" w:line="480" w:lineRule="auto"/>
        <w:rPr>
          <w:rFonts w:cs="Times New Roman"/>
        </w:rPr>
      </w:pPr>
      <w:r>
        <w:rPr>
          <w:rFonts w:cs="Times New Roman"/>
          <w:b/>
          <w:bCs/>
        </w:rPr>
        <w:t>3.3  Composition Effects and the SCOTUS Shock</w:t>
      </w:r>
    </w:p>
    <w:p w14:paraId="52346FB1" w14:textId="4841FE23" w:rsidR="00C51332" w:rsidRPr="00D23AF2" w:rsidRDefault="00000000" w:rsidP="00D23AF2">
      <w:pPr>
        <w:spacing w:before="100" w:after="80" w:line="480" w:lineRule="auto"/>
        <w:rPr>
          <w:rFonts w:cs="Times New Roman"/>
        </w:rPr>
      </w:pPr>
      <w:r>
        <w:rPr>
          <w:rFonts w:cs="Times New Roman"/>
        </w:rPr>
        <w:t xml:space="preserve">The May 28, 2025 SCOTUS ruling shifted the composition of tariffed goods from necessity categories (apparel, footwear, food) toward </w:t>
      </w:r>
      <w:r w:rsidR="0026085F">
        <w:rPr>
          <w:rFonts w:cs="Times New Roman"/>
        </w:rPr>
        <w:t>capital intensive</w:t>
      </w:r>
      <w:r>
        <w:rPr>
          <w:rFonts w:cs="Times New Roman"/>
        </w:rPr>
        <w:t xml:space="preserve"> sectors (metals, vehicles, electronics). Goods in the </w:t>
      </w:r>
      <w:r w:rsidR="0026085F">
        <w:rPr>
          <w:rFonts w:cs="Times New Roman"/>
        </w:rPr>
        <w:t>post ruling</w:t>
      </w:r>
      <w:r>
        <w:rPr>
          <w:rFonts w:cs="Times New Roman"/>
        </w:rPr>
        <w:t xml:space="preserve"> tariff basket have income elasticities above one, implying </w:t>
      </w:r>
      <w:r w:rsidRPr="0026085F">
        <w:rPr>
          <w:rFonts w:ascii="Cambria Math" w:hAnsi="Cambria Math" w:cs="Times New Roman"/>
        </w:rPr>
        <w:t>sᵢᵢ</w:t>
      </w:r>
      <w:r>
        <w:rPr>
          <w:rFonts w:cs="Times New Roman"/>
        </w:rPr>
        <w:t xml:space="preserve"> increases with q. By the incidence formula, this compositional shift reduces </w:t>
      </w:r>
      <w:r w:rsidRPr="0026085F">
        <w:rPr>
          <w:rFonts w:ascii="Cambria Math" w:hAnsi="Cambria Math" w:cs="Times New Roman"/>
        </w:rPr>
        <w:t>δᵢ</w:t>
      </w:r>
      <w:r>
        <w:rPr>
          <w:rFonts w:cs="Times New Roman"/>
        </w:rPr>
        <w:t xml:space="preserve"> for </w:t>
      </w:r>
      <w:r w:rsidR="0026085F">
        <w:rPr>
          <w:rFonts w:cs="Times New Roman"/>
        </w:rPr>
        <w:t>low income</w:t>
      </w:r>
      <w:r>
        <w:rPr>
          <w:rFonts w:cs="Times New Roman"/>
        </w:rPr>
        <w:t xml:space="preserve"> quintiles more than for </w:t>
      </w:r>
      <w:r w:rsidR="0026085F">
        <w:rPr>
          <w:rFonts w:cs="Times New Roman"/>
        </w:rPr>
        <w:t>high income</w:t>
      </w:r>
      <w:r>
        <w:rPr>
          <w:rFonts w:cs="Times New Roman"/>
        </w:rPr>
        <w:t xml:space="preserve"> quintiles. As demonstrated via the </w:t>
      </w:r>
      <w:r w:rsidR="0026085F">
        <w:rPr>
          <w:rFonts w:cs="Times New Roman"/>
        </w:rPr>
        <w:t>Stolper Samuelson</w:t>
      </w:r>
      <w:r>
        <w:rPr>
          <w:rFonts w:cs="Times New Roman"/>
        </w:rPr>
        <w:t xml:space="preserve"> Theorem in Figure 4, when tariffs shift toward </w:t>
      </w:r>
      <w:r w:rsidR="0026085F">
        <w:rPr>
          <w:rFonts w:cs="Times New Roman"/>
        </w:rPr>
        <w:t>capital intensive</w:t>
      </w:r>
      <w:r>
        <w:rPr>
          <w:rFonts w:cs="Times New Roman"/>
        </w:rPr>
        <w:t xml:space="preserve"> sectors, the corresponding change in the marginal product of labor drives nominal wage adjustment that partially offsets real income losses for </w:t>
      </w:r>
      <w:r w:rsidR="0026085F">
        <w:rPr>
          <w:rFonts w:cs="Times New Roman"/>
        </w:rPr>
        <w:t>lower income</w:t>
      </w:r>
      <w:r>
        <w:rPr>
          <w:rFonts w:cs="Times New Roman"/>
        </w:rPr>
        <w:t xml:space="preserve"> workers.</w:t>
      </w:r>
    </w:p>
    <w:p w14:paraId="40ADC785" w14:textId="77777777" w:rsidR="00C51332" w:rsidRPr="00D23AF2" w:rsidRDefault="00000000" w:rsidP="00D23AF2">
      <w:pPr>
        <w:spacing w:before="120" w:after="60" w:line="480" w:lineRule="auto"/>
        <w:jc w:val="center"/>
        <w:rPr>
          <w:rFonts w:cs="Times New Roman"/>
        </w:rPr>
      </w:pPr>
      <w:r>
        <w:rPr>
          <w:rFonts w:cs="Times New Roman"/>
          <w:noProof/>
        </w:rPr>
        <w:lastRenderedPageBreak/>
        <w:drawing>
          <wp:inline distT="0" distB="0" distL="0" distR="0" wp14:anchorId="339CBE02" wp14:editId="1F3227B3">
            <wp:extent cx="4191000" cy="3143250"/>
            <wp:effectExtent l="0" t="0" r="0" b="0"/>
            <wp:docPr id="1676413666" name="Picture 167641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43250"/>
                    </a:xfrm>
                    <a:prstGeom prst="rect">
                      <a:avLst/>
                    </a:prstGeom>
                  </pic:spPr>
                </pic:pic>
              </a:graphicData>
            </a:graphic>
          </wp:inline>
        </w:drawing>
      </w:r>
    </w:p>
    <w:p w14:paraId="65CC1A92" w14:textId="664372B3" w:rsidR="00C51332" w:rsidRPr="0026085F" w:rsidRDefault="00000000" w:rsidP="00D23AF2">
      <w:pPr>
        <w:spacing w:before="40" w:after="160" w:line="480" w:lineRule="auto"/>
        <w:jc w:val="center"/>
        <w:rPr>
          <w:rFonts w:cs="Times New Roman"/>
        </w:rPr>
      </w:pPr>
      <w:r w:rsidRPr="0026085F">
        <w:rPr>
          <w:rFonts w:cs="Times New Roman"/>
        </w:rPr>
        <w:t xml:space="preserve">Figure 4. </w:t>
      </w:r>
      <w:r w:rsidR="0026085F" w:rsidRPr="0026085F">
        <w:rPr>
          <w:rFonts w:cs="Times New Roman"/>
        </w:rPr>
        <w:t>Stolper Samuelson</w:t>
      </w:r>
      <w:r w:rsidRPr="0026085F">
        <w:rPr>
          <w:rFonts w:cs="Times New Roman"/>
        </w:rPr>
        <w:t xml:space="preserve"> Effects: Tariff Composition Shift to </w:t>
      </w:r>
      <w:r w:rsidR="0026085F" w:rsidRPr="0026085F">
        <w:rPr>
          <w:rFonts w:cs="Times New Roman"/>
        </w:rPr>
        <w:t>Capital Intensive</w:t>
      </w:r>
      <w:r w:rsidRPr="0026085F">
        <w:rPr>
          <w:rFonts w:cs="Times New Roman"/>
        </w:rPr>
        <w:t xml:space="preserve"> Sectors. Source: Stolper and Samuelson (1941</w:t>
      </w:r>
      <w:r w:rsidR="0026085F">
        <w:rPr>
          <w:rFonts w:cs="Times New Roman"/>
        </w:rPr>
        <w:t>)</w:t>
      </w:r>
      <w:r w:rsidRPr="0026085F">
        <w:rPr>
          <w:rFonts w:cs="Times New Roman"/>
        </w:rPr>
        <w:t>.</w:t>
      </w:r>
    </w:p>
    <w:p w14:paraId="62244A66" w14:textId="68DD418F" w:rsidR="00C51332" w:rsidRPr="00D23AF2" w:rsidRDefault="00000000" w:rsidP="00D23AF2">
      <w:pPr>
        <w:spacing w:before="100" w:after="80" w:line="480" w:lineRule="auto"/>
        <w:rPr>
          <w:rFonts w:cs="Times New Roman"/>
        </w:rPr>
      </w:pPr>
      <w:r>
        <w:rPr>
          <w:rFonts w:cs="Times New Roman"/>
        </w:rPr>
        <w:t xml:space="preserve">This theoretical prediction generates two testable implications: (H1) under full IEEPA, </w:t>
      </w:r>
      <w:r w:rsidR="0026085F">
        <w:rPr>
          <w:rFonts w:cs="Times New Roman"/>
        </w:rPr>
        <w:t>bottom quintile</w:t>
      </w:r>
      <w:r>
        <w:rPr>
          <w:rFonts w:cs="Times New Roman"/>
        </w:rPr>
        <w:t xml:space="preserve"> welfare losses as a share of income significantly exceed </w:t>
      </w:r>
      <w:r w:rsidR="0026085F">
        <w:rPr>
          <w:rFonts w:cs="Times New Roman"/>
        </w:rPr>
        <w:t>top quintile</w:t>
      </w:r>
      <w:r>
        <w:rPr>
          <w:rFonts w:cs="Times New Roman"/>
        </w:rPr>
        <w:t xml:space="preserve"> losses; and (H2) the SCOTUS compositional shift reduces the distributional gradient, with the largest proportional loss reduction occurring at the bottom quintile.</w:t>
      </w:r>
    </w:p>
    <w:p w14:paraId="25471275" w14:textId="77777777" w:rsidR="00C51332" w:rsidRPr="00D23AF2" w:rsidRDefault="00000000" w:rsidP="00D23AF2">
      <w:pPr>
        <w:spacing w:before="240" w:after="120" w:line="480" w:lineRule="auto"/>
        <w:rPr>
          <w:rFonts w:cs="Times New Roman"/>
        </w:rPr>
      </w:pPr>
      <w:r>
        <w:rPr>
          <w:rFonts w:cs="Times New Roman"/>
          <w:b/>
          <w:bCs/>
        </w:rPr>
        <w:t>4.  DATA AND METHODOLOGY</w:t>
      </w:r>
    </w:p>
    <w:p w14:paraId="329BDF75" w14:textId="77777777" w:rsidR="00C51332" w:rsidRPr="00D23AF2" w:rsidRDefault="00000000" w:rsidP="00D23AF2">
      <w:pPr>
        <w:spacing w:before="100" w:after="80" w:line="480" w:lineRule="auto"/>
        <w:rPr>
          <w:rFonts w:cs="Times New Roman"/>
        </w:rPr>
      </w:pPr>
      <w:r>
        <w:rPr>
          <w:rFonts w:cs="Times New Roman"/>
          <w:b/>
          <w:bCs/>
        </w:rPr>
        <w:t>4.1  Data Sources</w:t>
      </w:r>
    </w:p>
    <w:p w14:paraId="20D853E3" w14:textId="0F45E16C" w:rsidR="00C51332" w:rsidRPr="00D23AF2" w:rsidRDefault="00000000" w:rsidP="00D23AF2">
      <w:pPr>
        <w:spacing w:before="100" w:after="80" w:line="480" w:lineRule="auto"/>
        <w:rPr>
          <w:rFonts w:cs="Times New Roman"/>
        </w:rPr>
      </w:pPr>
      <w:r>
        <w:rPr>
          <w:rFonts w:cs="Times New Roman"/>
        </w:rPr>
        <w:t xml:space="preserve">Three primary sources are used. Monthly CPI microdata for January through December 2025 is drawn from the Bureau of Labor Statistics Consumer Price Index, providing </w:t>
      </w:r>
      <w:r w:rsidR="0026085F">
        <w:rPr>
          <w:rFonts w:cs="Times New Roman"/>
        </w:rPr>
        <w:t>category level</w:t>
      </w:r>
      <w:r>
        <w:rPr>
          <w:rFonts w:cs="Times New Roman"/>
        </w:rPr>
        <w:t xml:space="preserve"> price indices for apparel, food at home, commodities, and core services. </w:t>
      </w:r>
      <w:r w:rsidR="0026085F">
        <w:rPr>
          <w:rFonts w:cs="Times New Roman"/>
        </w:rPr>
        <w:t>Quintile specific</w:t>
      </w:r>
      <w:r>
        <w:rPr>
          <w:rFonts w:cs="Times New Roman"/>
        </w:rPr>
        <w:t xml:space="preserve"> expenditure shares are from the 2024 Consumer Expenditure Survey </w:t>
      </w:r>
      <w:r w:rsidR="0026085F">
        <w:rPr>
          <w:rFonts w:cs="Times New Roman"/>
        </w:rPr>
        <w:t>cross sectional</w:t>
      </w:r>
      <w:r>
        <w:rPr>
          <w:rFonts w:cs="Times New Roman"/>
        </w:rPr>
        <w:t xml:space="preserve"> weights. Baseline incidence estimates and counterfactual household loss figures are calibrated against the Yale Budget Lab </w:t>
      </w:r>
      <w:r>
        <w:rPr>
          <w:rFonts w:cs="Times New Roman"/>
        </w:rPr>
        <w:lastRenderedPageBreak/>
        <w:t>2025–2026 Tariff Incidence Model (Bonaparte 2025; Yale Budget Lab 2025a). Table 2 lists sources, coverage, and key variables.</w:t>
      </w:r>
    </w:p>
    <w:p w14:paraId="2616F0C7" w14:textId="77777777" w:rsidR="00C51332" w:rsidRPr="00D23AF2" w:rsidRDefault="00C51332" w:rsidP="00D23AF2">
      <w:pPr>
        <w:spacing w:before="80" w:line="480" w:lineRule="auto"/>
        <w:rPr>
          <w:rFonts w:cs="Times New Roman"/>
        </w:rPr>
      </w:pPr>
    </w:p>
    <w:p w14:paraId="591FB671" w14:textId="77777777" w:rsidR="00C51332" w:rsidRPr="00D23AF2" w:rsidRDefault="00000000" w:rsidP="00D23AF2">
      <w:pPr>
        <w:spacing w:after="80" w:line="480" w:lineRule="auto"/>
        <w:rPr>
          <w:rFonts w:cs="Times New Roman"/>
        </w:rPr>
      </w:pPr>
      <w:r>
        <w:rPr>
          <w:rFonts w:cs="Times New Roman"/>
          <w:b/>
          <w:bCs/>
        </w:rPr>
        <w:t>Table 2.  Primary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60"/>
        <w:gridCol w:w="1600"/>
        <w:gridCol w:w="3200"/>
      </w:tblGrid>
      <w:tr w:rsidR="00A03EA4" w14:paraId="20600B4B" w14:textId="77777777" w:rsidTr="0026085F">
        <w:trPr>
          <w:tblHeader/>
        </w:trPr>
        <w:tc>
          <w:tcPr>
            <w:tcW w:w="2200" w:type="dxa"/>
            <w:shd w:val="clear" w:color="auto" w:fill="auto"/>
            <w:tcMar>
              <w:top w:w="60" w:type="dxa"/>
              <w:left w:w="100" w:type="dxa"/>
              <w:bottom w:w="60" w:type="dxa"/>
              <w:right w:w="100" w:type="dxa"/>
            </w:tcMar>
            <w:vAlign w:val="center"/>
          </w:tcPr>
          <w:p w14:paraId="30A6F713" w14:textId="77777777" w:rsidR="00C51332" w:rsidRPr="00D23AF2" w:rsidRDefault="00000000" w:rsidP="00D23AF2">
            <w:pPr>
              <w:spacing w:line="480" w:lineRule="auto"/>
              <w:rPr>
                <w:rFonts w:cs="Times New Roman"/>
              </w:rPr>
            </w:pPr>
            <w:r>
              <w:rPr>
                <w:rFonts w:cs="Times New Roman"/>
                <w:b/>
                <w:bCs/>
              </w:rPr>
              <w:t>Source</w:t>
            </w:r>
          </w:p>
        </w:tc>
        <w:tc>
          <w:tcPr>
            <w:tcW w:w="2360" w:type="dxa"/>
            <w:shd w:val="clear" w:color="auto" w:fill="auto"/>
            <w:tcMar>
              <w:top w:w="60" w:type="dxa"/>
              <w:left w:w="100" w:type="dxa"/>
              <w:bottom w:w="60" w:type="dxa"/>
              <w:right w:w="100" w:type="dxa"/>
            </w:tcMar>
            <w:vAlign w:val="center"/>
          </w:tcPr>
          <w:p w14:paraId="10616E92" w14:textId="77777777" w:rsidR="00C51332" w:rsidRPr="00D23AF2" w:rsidRDefault="00000000" w:rsidP="00D23AF2">
            <w:pPr>
              <w:spacing w:line="480" w:lineRule="auto"/>
              <w:rPr>
                <w:rFonts w:cs="Times New Roman"/>
              </w:rPr>
            </w:pPr>
            <w:r>
              <w:rPr>
                <w:rFonts w:cs="Times New Roman"/>
                <w:b/>
                <w:bCs/>
              </w:rPr>
              <w:t>Dataset</w:t>
            </w:r>
          </w:p>
        </w:tc>
        <w:tc>
          <w:tcPr>
            <w:tcW w:w="1600" w:type="dxa"/>
            <w:shd w:val="clear" w:color="auto" w:fill="auto"/>
            <w:tcMar>
              <w:top w:w="60" w:type="dxa"/>
              <w:left w:w="100" w:type="dxa"/>
              <w:bottom w:w="60" w:type="dxa"/>
              <w:right w:w="100" w:type="dxa"/>
            </w:tcMar>
            <w:vAlign w:val="center"/>
          </w:tcPr>
          <w:p w14:paraId="04DB8247" w14:textId="77777777" w:rsidR="00C51332" w:rsidRPr="00D23AF2" w:rsidRDefault="00000000" w:rsidP="00D23AF2">
            <w:pPr>
              <w:spacing w:line="480" w:lineRule="auto"/>
              <w:rPr>
                <w:rFonts w:cs="Times New Roman"/>
              </w:rPr>
            </w:pPr>
            <w:r>
              <w:rPr>
                <w:rFonts w:cs="Times New Roman"/>
                <w:b/>
                <w:bCs/>
              </w:rPr>
              <w:t>Coverage</w:t>
            </w:r>
          </w:p>
        </w:tc>
        <w:tc>
          <w:tcPr>
            <w:tcW w:w="3200" w:type="dxa"/>
            <w:shd w:val="clear" w:color="auto" w:fill="auto"/>
            <w:tcMar>
              <w:top w:w="60" w:type="dxa"/>
              <w:left w:w="100" w:type="dxa"/>
              <w:bottom w:w="60" w:type="dxa"/>
              <w:right w:w="100" w:type="dxa"/>
            </w:tcMar>
            <w:vAlign w:val="center"/>
          </w:tcPr>
          <w:p w14:paraId="742189D9" w14:textId="77777777" w:rsidR="00C51332" w:rsidRPr="00D23AF2" w:rsidRDefault="00000000" w:rsidP="00D23AF2">
            <w:pPr>
              <w:spacing w:line="480" w:lineRule="auto"/>
              <w:rPr>
                <w:rFonts w:cs="Times New Roman"/>
              </w:rPr>
            </w:pPr>
            <w:r>
              <w:rPr>
                <w:rFonts w:cs="Times New Roman"/>
                <w:b/>
                <w:bCs/>
              </w:rPr>
              <w:t>Key Variables</w:t>
            </w:r>
          </w:p>
        </w:tc>
      </w:tr>
      <w:tr w:rsidR="00A03EA4" w14:paraId="0CD3B1E9" w14:textId="77777777">
        <w:tc>
          <w:tcPr>
            <w:tcW w:w="2200" w:type="dxa"/>
            <w:tcMar>
              <w:top w:w="60" w:type="dxa"/>
              <w:left w:w="100" w:type="dxa"/>
              <w:bottom w:w="60" w:type="dxa"/>
              <w:right w:w="100" w:type="dxa"/>
            </w:tcMar>
            <w:vAlign w:val="center"/>
          </w:tcPr>
          <w:p w14:paraId="62AF99F2" w14:textId="77777777" w:rsidR="00C51332" w:rsidRPr="00D23AF2" w:rsidRDefault="00000000" w:rsidP="00D23AF2">
            <w:pPr>
              <w:spacing w:line="480" w:lineRule="auto"/>
              <w:rPr>
                <w:rFonts w:cs="Times New Roman"/>
              </w:rPr>
            </w:pPr>
            <w:r>
              <w:rPr>
                <w:rFonts w:cs="Times New Roman"/>
              </w:rPr>
              <w:t>Yale Budget Lab</w:t>
            </w:r>
          </w:p>
        </w:tc>
        <w:tc>
          <w:tcPr>
            <w:tcW w:w="2360" w:type="dxa"/>
            <w:tcMar>
              <w:top w:w="60" w:type="dxa"/>
              <w:left w:w="100" w:type="dxa"/>
              <w:bottom w:w="60" w:type="dxa"/>
              <w:right w:w="100" w:type="dxa"/>
            </w:tcMar>
            <w:vAlign w:val="center"/>
          </w:tcPr>
          <w:p w14:paraId="05B1D5C0" w14:textId="77777777" w:rsidR="00C51332" w:rsidRPr="00D23AF2" w:rsidRDefault="00000000" w:rsidP="00D23AF2">
            <w:pPr>
              <w:spacing w:line="480" w:lineRule="auto"/>
              <w:rPr>
                <w:rFonts w:cs="Times New Roman"/>
              </w:rPr>
            </w:pPr>
            <w:r>
              <w:rPr>
                <w:rFonts w:cs="Times New Roman"/>
              </w:rPr>
              <w:t>Tariff Incidence Model 2025–2026</w:t>
            </w:r>
          </w:p>
        </w:tc>
        <w:tc>
          <w:tcPr>
            <w:tcW w:w="1600" w:type="dxa"/>
            <w:tcMar>
              <w:top w:w="60" w:type="dxa"/>
              <w:left w:w="100" w:type="dxa"/>
              <w:bottom w:w="60" w:type="dxa"/>
              <w:right w:w="100" w:type="dxa"/>
            </w:tcMar>
            <w:vAlign w:val="center"/>
          </w:tcPr>
          <w:p w14:paraId="1261CB65" w14:textId="77777777" w:rsidR="00C51332" w:rsidRPr="00D23AF2" w:rsidRDefault="00000000" w:rsidP="00D23AF2">
            <w:pPr>
              <w:spacing w:line="480" w:lineRule="auto"/>
              <w:rPr>
                <w:rFonts w:cs="Times New Roman"/>
              </w:rPr>
            </w:pPr>
            <w:r>
              <w:rPr>
                <w:rFonts w:cs="Times New Roman"/>
              </w:rPr>
              <w:t>National, by quintile</w:t>
            </w:r>
          </w:p>
        </w:tc>
        <w:tc>
          <w:tcPr>
            <w:tcW w:w="3200" w:type="dxa"/>
            <w:tcMar>
              <w:top w:w="60" w:type="dxa"/>
              <w:left w:w="100" w:type="dxa"/>
              <w:bottom w:w="60" w:type="dxa"/>
              <w:right w:w="100" w:type="dxa"/>
            </w:tcMar>
            <w:vAlign w:val="center"/>
          </w:tcPr>
          <w:p w14:paraId="4CC48E59" w14:textId="77777777" w:rsidR="00C51332" w:rsidRPr="00D23AF2" w:rsidRDefault="00000000" w:rsidP="00D23AF2">
            <w:pPr>
              <w:spacing w:line="480" w:lineRule="auto"/>
              <w:rPr>
                <w:rFonts w:cs="Times New Roman"/>
              </w:rPr>
            </w:pPr>
            <w:r>
              <w:rPr>
                <w:rFonts w:cs="Times New Roman"/>
              </w:rPr>
              <w:t>Effective tariff rates, household loss estimates</w:t>
            </w:r>
          </w:p>
        </w:tc>
      </w:tr>
      <w:tr w:rsidR="00A03EA4" w14:paraId="7A60F727" w14:textId="77777777">
        <w:tc>
          <w:tcPr>
            <w:tcW w:w="2200" w:type="dxa"/>
            <w:tcMar>
              <w:top w:w="60" w:type="dxa"/>
              <w:left w:w="100" w:type="dxa"/>
              <w:bottom w:w="60" w:type="dxa"/>
              <w:right w:w="100" w:type="dxa"/>
            </w:tcMar>
            <w:vAlign w:val="center"/>
          </w:tcPr>
          <w:p w14:paraId="2D5BC696" w14:textId="77777777" w:rsidR="00C51332" w:rsidRPr="00D23AF2" w:rsidRDefault="00000000" w:rsidP="00D23AF2">
            <w:pPr>
              <w:spacing w:line="480" w:lineRule="auto"/>
              <w:rPr>
                <w:rFonts w:cs="Times New Roman"/>
              </w:rPr>
            </w:pPr>
            <w:r>
              <w:rPr>
                <w:rFonts w:cs="Times New Roman"/>
              </w:rPr>
              <w:t>BLS</w:t>
            </w:r>
          </w:p>
        </w:tc>
        <w:tc>
          <w:tcPr>
            <w:tcW w:w="2360" w:type="dxa"/>
            <w:tcMar>
              <w:top w:w="60" w:type="dxa"/>
              <w:left w:w="100" w:type="dxa"/>
              <w:bottom w:w="60" w:type="dxa"/>
              <w:right w:w="100" w:type="dxa"/>
            </w:tcMar>
            <w:vAlign w:val="center"/>
          </w:tcPr>
          <w:p w14:paraId="34DE3AFD" w14:textId="77777777" w:rsidR="00C51332" w:rsidRPr="00D23AF2" w:rsidRDefault="00000000" w:rsidP="00D23AF2">
            <w:pPr>
              <w:spacing w:line="480" w:lineRule="auto"/>
              <w:rPr>
                <w:rFonts w:cs="Times New Roman"/>
              </w:rPr>
            </w:pPr>
            <w:r>
              <w:rPr>
                <w:rFonts w:cs="Times New Roman"/>
              </w:rPr>
              <w:t>Consumer Price Index Microdata</w:t>
            </w:r>
          </w:p>
        </w:tc>
        <w:tc>
          <w:tcPr>
            <w:tcW w:w="1600" w:type="dxa"/>
            <w:tcMar>
              <w:top w:w="60" w:type="dxa"/>
              <w:left w:w="100" w:type="dxa"/>
              <w:bottom w:w="60" w:type="dxa"/>
              <w:right w:w="100" w:type="dxa"/>
            </w:tcMar>
            <w:vAlign w:val="center"/>
          </w:tcPr>
          <w:p w14:paraId="4C89D539" w14:textId="77777777" w:rsidR="00C51332" w:rsidRPr="00D23AF2" w:rsidRDefault="00000000" w:rsidP="00D23AF2">
            <w:pPr>
              <w:spacing w:line="480" w:lineRule="auto"/>
              <w:rPr>
                <w:rFonts w:cs="Times New Roman"/>
              </w:rPr>
            </w:pPr>
            <w:r>
              <w:rPr>
                <w:rFonts w:cs="Times New Roman"/>
              </w:rPr>
              <w:t>Jan–Dec 2025</w:t>
            </w:r>
          </w:p>
        </w:tc>
        <w:tc>
          <w:tcPr>
            <w:tcW w:w="3200" w:type="dxa"/>
            <w:tcMar>
              <w:top w:w="60" w:type="dxa"/>
              <w:left w:w="100" w:type="dxa"/>
              <w:bottom w:w="60" w:type="dxa"/>
              <w:right w:w="100" w:type="dxa"/>
            </w:tcMar>
            <w:vAlign w:val="center"/>
          </w:tcPr>
          <w:p w14:paraId="5EC5D953" w14:textId="4CCB8C6A" w:rsidR="00C51332" w:rsidRPr="00D23AF2" w:rsidRDefault="0026085F" w:rsidP="00D23AF2">
            <w:pPr>
              <w:spacing w:line="480" w:lineRule="auto"/>
              <w:rPr>
                <w:rFonts w:cs="Times New Roman"/>
              </w:rPr>
            </w:pPr>
            <w:r>
              <w:rPr>
                <w:rFonts w:cs="Times New Roman"/>
              </w:rPr>
              <w:t>Category level</w:t>
            </w:r>
            <w:r w:rsidR="00000000">
              <w:rPr>
                <w:rFonts w:cs="Times New Roman"/>
              </w:rPr>
              <w:t xml:space="preserve"> price indices: apparel, food, commodities</w:t>
            </w:r>
          </w:p>
        </w:tc>
      </w:tr>
      <w:tr w:rsidR="00A03EA4" w14:paraId="2F2D9B8A" w14:textId="77777777">
        <w:tc>
          <w:tcPr>
            <w:tcW w:w="2200" w:type="dxa"/>
            <w:tcMar>
              <w:top w:w="60" w:type="dxa"/>
              <w:left w:w="100" w:type="dxa"/>
              <w:bottom w:w="60" w:type="dxa"/>
              <w:right w:w="100" w:type="dxa"/>
            </w:tcMar>
            <w:vAlign w:val="center"/>
          </w:tcPr>
          <w:p w14:paraId="1A0636EF" w14:textId="77777777" w:rsidR="00C51332" w:rsidRPr="00D23AF2" w:rsidRDefault="00000000" w:rsidP="00D23AF2">
            <w:pPr>
              <w:spacing w:line="480" w:lineRule="auto"/>
              <w:rPr>
                <w:rFonts w:cs="Times New Roman"/>
              </w:rPr>
            </w:pPr>
            <w:r>
              <w:rPr>
                <w:rFonts w:cs="Times New Roman"/>
              </w:rPr>
              <w:t>BLS</w:t>
            </w:r>
          </w:p>
        </w:tc>
        <w:tc>
          <w:tcPr>
            <w:tcW w:w="2360" w:type="dxa"/>
            <w:tcMar>
              <w:top w:w="60" w:type="dxa"/>
              <w:left w:w="100" w:type="dxa"/>
              <w:bottom w:w="60" w:type="dxa"/>
              <w:right w:w="100" w:type="dxa"/>
            </w:tcMar>
            <w:vAlign w:val="center"/>
          </w:tcPr>
          <w:p w14:paraId="7B762CDD" w14:textId="77777777" w:rsidR="00C51332" w:rsidRPr="00D23AF2" w:rsidRDefault="00000000" w:rsidP="00D23AF2">
            <w:pPr>
              <w:spacing w:line="480" w:lineRule="auto"/>
              <w:rPr>
                <w:rFonts w:cs="Times New Roman"/>
              </w:rPr>
            </w:pPr>
            <w:r>
              <w:rPr>
                <w:rFonts w:cs="Times New Roman"/>
              </w:rPr>
              <w:t>Consumer Expenditure Survey 2024</w:t>
            </w:r>
          </w:p>
        </w:tc>
        <w:tc>
          <w:tcPr>
            <w:tcW w:w="1600" w:type="dxa"/>
            <w:tcMar>
              <w:top w:w="60" w:type="dxa"/>
              <w:left w:w="100" w:type="dxa"/>
              <w:bottom w:w="60" w:type="dxa"/>
              <w:right w:w="100" w:type="dxa"/>
            </w:tcMar>
            <w:vAlign w:val="center"/>
          </w:tcPr>
          <w:p w14:paraId="7FA40368" w14:textId="77777777" w:rsidR="00C51332" w:rsidRPr="00D23AF2" w:rsidRDefault="00000000" w:rsidP="00D23AF2">
            <w:pPr>
              <w:spacing w:line="480" w:lineRule="auto"/>
              <w:rPr>
                <w:rFonts w:cs="Times New Roman"/>
              </w:rPr>
            </w:pPr>
            <w:r>
              <w:rPr>
                <w:rFonts w:cs="Times New Roman"/>
              </w:rPr>
              <w:t>National household</w:t>
            </w:r>
          </w:p>
        </w:tc>
        <w:tc>
          <w:tcPr>
            <w:tcW w:w="3200" w:type="dxa"/>
            <w:tcMar>
              <w:top w:w="60" w:type="dxa"/>
              <w:left w:w="100" w:type="dxa"/>
              <w:bottom w:w="60" w:type="dxa"/>
              <w:right w:w="100" w:type="dxa"/>
            </w:tcMar>
            <w:vAlign w:val="center"/>
          </w:tcPr>
          <w:p w14:paraId="5223A6FD" w14:textId="77777777" w:rsidR="00C51332" w:rsidRPr="00D23AF2" w:rsidRDefault="00000000" w:rsidP="00D23AF2">
            <w:pPr>
              <w:spacing w:line="480" w:lineRule="auto"/>
              <w:rPr>
                <w:rFonts w:cs="Times New Roman"/>
              </w:rPr>
            </w:pPr>
            <w:r>
              <w:rPr>
                <w:rFonts w:cs="Times New Roman"/>
              </w:rPr>
              <w:t>Quintile expenditure shares by category</w:t>
            </w:r>
          </w:p>
        </w:tc>
      </w:tr>
      <w:tr w:rsidR="00A03EA4" w14:paraId="4B79E233" w14:textId="77777777">
        <w:tc>
          <w:tcPr>
            <w:tcW w:w="2200" w:type="dxa"/>
            <w:tcMar>
              <w:top w:w="60" w:type="dxa"/>
              <w:left w:w="100" w:type="dxa"/>
              <w:bottom w:w="60" w:type="dxa"/>
              <w:right w:w="100" w:type="dxa"/>
            </w:tcMar>
            <w:vAlign w:val="center"/>
          </w:tcPr>
          <w:p w14:paraId="3093335A" w14:textId="77777777" w:rsidR="00C51332" w:rsidRPr="00D23AF2" w:rsidRDefault="00000000" w:rsidP="00D23AF2">
            <w:pPr>
              <w:spacing w:line="480" w:lineRule="auto"/>
              <w:rPr>
                <w:rFonts w:cs="Times New Roman"/>
              </w:rPr>
            </w:pPr>
            <w:r>
              <w:rPr>
                <w:rFonts w:cs="Times New Roman"/>
              </w:rPr>
              <w:t>PIIE / NBER</w:t>
            </w:r>
          </w:p>
        </w:tc>
        <w:tc>
          <w:tcPr>
            <w:tcW w:w="2360" w:type="dxa"/>
            <w:tcMar>
              <w:top w:w="60" w:type="dxa"/>
              <w:left w:w="100" w:type="dxa"/>
              <w:bottom w:w="60" w:type="dxa"/>
              <w:right w:w="100" w:type="dxa"/>
            </w:tcMar>
            <w:vAlign w:val="center"/>
          </w:tcPr>
          <w:p w14:paraId="1A25D632" w14:textId="77777777" w:rsidR="00C51332" w:rsidRPr="00D23AF2" w:rsidRDefault="00000000" w:rsidP="00D23AF2">
            <w:pPr>
              <w:spacing w:line="480" w:lineRule="auto"/>
              <w:rPr>
                <w:rFonts w:cs="Times New Roman"/>
              </w:rPr>
            </w:pPr>
            <w:r>
              <w:rPr>
                <w:rFonts w:cs="Times New Roman"/>
              </w:rPr>
              <w:t>Working papers on tariff passthrough</w:t>
            </w:r>
          </w:p>
        </w:tc>
        <w:tc>
          <w:tcPr>
            <w:tcW w:w="1600" w:type="dxa"/>
            <w:tcMar>
              <w:top w:w="60" w:type="dxa"/>
              <w:left w:w="100" w:type="dxa"/>
              <w:bottom w:w="60" w:type="dxa"/>
              <w:right w:w="100" w:type="dxa"/>
            </w:tcMar>
            <w:vAlign w:val="center"/>
          </w:tcPr>
          <w:p w14:paraId="3896EF1E" w14:textId="77777777" w:rsidR="00C51332" w:rsidRPr="00D23AF2" w:rsidRDefault="00000000" w:rsidP="00D23AF2">
            <w:pPr>
              <w:spacing w:line="480" w:lineRule="auto"/>
              <w:rPr>
                <w:rFonts w:cs="Times New Roman"/>
              </w:rPr>
            </w:pPr>
            <w:r>
              <w:rPr>
                <w:rFonts w:cs="Times New Roman"/>
              </w:rPr>
              <w:t>2018–2024</w:t>
            </w:r>
          </w:p>
        </w:tc>
        <w:tc>
          <w:tcPr>
            <w:tcW w:w="3200" w:type="dxa"/>
            <w:tcMar>
              <w:top w:w="60" w:type="dxa"/>
              <w:left w:w="100" w:type="dxa"/>
              <w:bottom w:w="60" w:type="dxa"/>
              <w:right w:w="100" w:type="dxa"/>
            </w:tcMar>
            <w:vAlign w:val="center"/>
          </w:tcPr>
          <w:p w14:paraId="11601929" w14:textId="77777777" w:rsidR="00C51332" w:rsidRPr="00D23AF2" w:rsidRDefault="00000000" w:rsidP="00D23AF2">
            <w:pPr>
              <w:spacing w:line="480" w:lineRule="auto"/>
              <w:rPr>
                <w:rFonts w:cs="Times New Roman"/>
              </w:rPr>
            </w:pPr>
            <w:r>
              <w:rPr>
                <w:rFonts w:cs="Times New Roman"/>
              </w:rPr>
              <w:t>Passthrough coefficients, distributional elasticities</w:t>
            </w:r>
          </w:p>
        </w:tc>
      </w:tr>
    </w:tbl>
    <w:p w14:paraId="796DD861" w14:textId="77777777" w:rsidR="00C51332" w:rsidRPr="00D23AF2" w:rsidRDefault="00000000" w:rsidP="00D23AF2">
      <w:pPr>
        <w:spacing w:before="60" w:after="60" w:line="480" w:lineRule="auto"/>
        <w:rPr>
          <w:rFonts w:cs="Times New Roman"/>
        </w:rPr>
      </w:pPr>
      <w:r w:rsidRPr="0026085F">
        <w:rPr>
          <w:rFonts w:cs="Times New Roman"/>
        </w:rPr>
        <w:t>Source: Author compilation</w:t>
      </w:r>
      <w:r>
        <w:rPr>
          <w:rFonts w:cs="Times New Roman"/>
          <w:i/>
          <w:iCs/>
        </w:rPr>
        <w:t>.</w:t>
      </w:r>
    </w:p>
    <w:p w14:paraId="06130C02" w14:textId="77777777" w:rsidR="00C51332" w:rsidRPr="00D23AF2" w:rsidRDefault="00C51332" w:rsidP="00D23AF2">
      <w:pPr>
        <w:spacing w:before="80" w:line="480" w:lineRule="auto"/>
        <w:rPr>
          <w:rFonts w:cs="Times New Roman"/>
        </w:rPr>
      </w:pPr>
    </w:p>
    <w:p w14:paraId="23C06B7D" w14:textId="27B1677E" w:rsidR="00C51332" w:rsidRPr="00D23AF2" w:rsidRDefault="00000000" w:rsidP="00D23AF2">
      <w:pPr>
        <w:spacing w:before="100" w:after="80" w:line="480" w:lineRule="auto"/>
        <w:rPr>
          <w:rFonts w:cs="Times New Roman"/>
        </w:rPr>
      </w:pPr>
      <w:r>
        <w:rPr>
          <w:rFonts w:cs="Times New Roman"/>
          <w:b/>
          <w:bCs/>
        </w:rPr>
        <w:t xml:space="preserve">4.2  Identification Strategy: </w:t>
      </w:r>
      <w:r w:rsidR="0026085F">
        <w:rPr>
          <w:rFonts w:cs="Times New Roman"/>
          <w:b/>
          <w:bCs/>
        </w:rPr>
        <w:t>Difference in differences</w:t>
      </w:r>
    </w:p>
    <w:p w14:paraId="27E86E2F" w14:textId="5AB5CE24" w:rsidR="00C51332" w:rsidRPr="00D23AF2" w:rsidRDefault="00000000" w:rsidP="00D23AF2">
      <w:pPr>
        <w:spacing w:before="100" w:after="80" w:line="480" w:lineRule="auto"/>
        <w:rPr>
          <w:rFonts w:cs="Times New Roman"/>
        </w:rPr>
      </w:pPr>
      <w:r>
        <w:rPr>
          <w:rFonts w:cs="Times New Roman"/>
        </w:rPr>
        <w:t xml:space="preserve">We exploit the SCOTUS invalidation of IEEPA authority on May 28, 2025 as an exogenous shock to tariff intensity. The ruling reduced the average effective tariff from 18.3 to 9.1 percent and shifted the composition of tariffed goods from necessity categories to </w:t>
      </w:r>
      <w:r w:rsidR="0026085F">
        <w:rPr>
          <w:rFonts w:cs="Times New Roman"/>
        </w:rPr>
        <w:t>capital intensive</w:t>
      </w:r>
      <w:r>
        <w:rPr>
          <w:rFonts w:cs="Times New Roman"/>
        </w:rPr>
        <w:t xml:space="preserve"> sectors. This </w:t>
      </w:r>
      <w:r>
        <w:rPr>
          <w:rFonts w:cs="Times New Roman"/>
        </w:rPr>
        <w:lastRenderedPageBreak/>
        <w:t xml:space="preserve">generates </w:t>
      </w:r>
      <w:r w:rsidR="0026085F">
        <w:rPr>
          <w:rFonts w:cs="Times New Roman"/>
        </w:rPr>
        <w:t>within year</w:t>
      </w:r>
      <w:r>
        <w:rPr>
          <w:rFonts w:cs="Times New Roman"/>
        </w:rPr>
        <w:t xml:space="preserve"> variation independent of seasonal demand patterns, household income changes, and macroeconomic </w:t>
      </w:r>
      <w:r w:rsidR="0026085F">
        <w:rPr>
          <w:rFonts w:cs="Times New Roman"/>
        </w:rPr>
        <w:t>business cycle</w:t>
      </w:r>
      <w:r>
        <w:rPr>
          <w:rFonts w:cs="Times New Roman"/>
        </w:rPr>
        <w:t xml:space="preserve"> dynamics.</w:t>
      </w:r>
    </w:p>
    <w:p w14:paraId="1AD7B766" w14:textId="3867CFB2" w:rsidR="00C51332" w:rsidRPr="00D23AF2" w:rsidRDefault="00000000" w:rsidP="00D23AF2">
      <w:pPr>
        <w:spacing w:before="100" w:after="80" w:line="480" w:lineRule="auto"/>
        <w:rPr>
          <w:rFonts w:cs="Times New Roman"/>
        </w:rPr>
      </w:pPr>
      <w:r>
        <w:rPr>
          <w:rFonts w:cs="Times New Roman"/>
        </w:rPr>
        <w:t xml:space="preserve">The DiD estimator compares price changes in </w:t>
      </w:r>
      <w:r w:rsidR="0026085F">
        <w:rPr>
          <w:rFonts w:cs="Times New Roman"/>
        </w:rPr>
        <w:t>tariff exposed</w:t>
      </w:r>
      <w:r>
        <w:rPr>
          <w:rFonts w:cs="Times New Roman"/>
        </w:rPr>
        <w:t xml:space="preserve"> categories (treatment) against unexposed categories (control), before (January–May) and after (June–December) the ruling, interacted with quintile expenditure weights. The baseline specification is:</w:t>
      </w:r>
    </w:p>
    <w:p w14:paraId="60A391FA" w14:textId="77777777" w:rsidR="00C51332" w:rsidRPr="0026085F" w:rsidRDefault="00000000" w:rsidP="00D23AF2">
      <w:pPr>
        <w:spacing w:before="100" w:after="100" w:line="480" w:lineRule="auto"/>
        <w:jc w:val="center"/>
        <w:rPr>
          <w:rFonts w:ascii="Cambria Math" w:hAnsi="Cambria Math" w:cs="Times New Roman"/>
        </w:rPr>
      </w:pPr>
      <w:r w:rsidRPr="0026085F">
        <w:rPr>
          <w:rFonts w:ascii="Cambria Math" w:hAnsi="Cambria Math" w:cs="Times New Roman"/>
        </w:rPr>
        <w:t>ΔPᵢ</w:t>
      </w:r>
      <w:r w:rsidRPr="0026085F">
        <w:rPr>
          <w:rFonts w:ascii="Segoe UI Symbol" w:hAnsi="Segoe UI Symbol" w:cs="Segoe UI Symbol"/>
        </w:rPr>
        <w:t>ₜ</w:t>
      </w:r>
      <w:r w:rsidRPr="0026085F">
        <w:rPr>
          <w:rFonts w:ascii="Cambria Math" w:hAnsi="Cambria Math" w:cs="Times New Roman"/>
        </w:rPr>
        <w:t xml:space="preserve"> = α + β₁(Exposedᵢ) + β₂(Post</w:t>
      </w:r>
      <w:r w:rsidRPr="0026085F">
        <w:rPr>
          <w:rFonts w:ascii="Segoe UI Symbol" w:hAnsi="Segoe UI Symbol" w:cs="Segoe UI Symbol"/>
        </w:rPr>
        <w:t>ₜ</w:t>
      </w:r>
      <w:r w:rsidRPr="0026085F">
        <w:rPr>
          <w:rFonts w:ascii="Cambria Math" w:hAnsi="Cambria Math" w:cs="Times New Roman"/>
        </w:rPr>
        <w:t>) + β₃(Exposedᵢ × Post</w:t>
      </w:r>
      <w:r w:rsidRPr="0026085F">
        <w:rPr>
          <w:rFonts w:ascii="Segoe UI Symbol" w:hAnsi="Segoe UI Symbol" w:cs="Segoe UI Symbol"/>
        </w:rPr>
        <w:t>ₜ</w:t>
      </w:r>
      <w:r w:rsidRPr="0026085F">
        <w:rPr>
          <w:rFonts w:ascii="Cambria Math" w:hAnsi="Cambria Math" w:cs="Times New Roman"/>
        </w:rPr>
        <w:t>) + γXᵢ</w:t>
      </w:r>
      <w:r w:rsidRPr="0026085F">
        <w:rPr>
          <w:rFonts w:ascii="Segoe UI Symbol" w:hAnsi="Segoe UI Symbol" w:cs="Segoe UI Symbol"/>
        </w:rPr>
        <w:t>ₜ</w:t>
      </w:r>
      <w:r w:rsidRPr="0026085F">
        <w:rPr>
          <w:rFonts w:ascii="Cambria Math" w:hAnsi="Cambria Math" w:cs="Times New Roman"/>
        </w:rPr>
        <w:t xml:space="preserve"> + εᵢ</w:t>
      </w:r>
      <w:r w:rsidRPr="0026085F">
        <w:rPr>
          <w:rFonts w:ascii="Segoe UI Symbol" w:hAnsi="Segoe UI Symbol" w:cs="Segoe UI Symbol"/>
        </w:rPr>
        <w:t>ₜ</w:t>
      </w:r>
    </w:p>
    <w:p w14:paraId="7E24206C" w14:textId="6D961961" w:rsidR="00C51332" w:rsidRPr="00D23AF2" w:rsidRDefault="00000000" w:rsidP="00D23AF2">
      <w:pPr>
        <w:spacing w:before="100" w:after="80" w:line="480" w:lineRule="auto"/>
        <w:rPr>
          <w:rFonts w:cs="Times New Roman"/>
        </w:rPr>
      </w:pPr>
      <w:r>
        <w:rPr>
          <w:rFonts w:cs="Times New Roman"/>
        </w:rPr>
        <w:t xml:space="preserve">where </w:t>
      </w:r>
      <w:r w:rsidRPr="0026085F">
        <w:rPr>
          <w:rFonts w:ascii="Cambria Math" w:hAnsi="Cambria Math" w:cs="Times New Roman"/>
        </w:rPr>
        <w:t>ΔPᵢ</w:t>
      </w:r>
      <w:r w:rsidRPr="0026085F">
        <w:rPr>
          <w:rFonts w:ascii="Segoe UI Symbol" w:hAnsi="Segoe UI Symbol" w:cs="Segoe UI Symbol"/>
        </w:rPr>
        <w:t>ₜ</w:t>
      </w:r>
      <w:r>
        <w:rPr>
          <w:rFonts w:cs="Times New Roman"/>
        </w:rPr>
        <w:t xml:space="preserve"> is the monthly price change for category i in period t; Exposedᵢ is an indicator for categories facing IEEPA tariff rates above 15 percent; Postₜ is an indicator for June–December 2025; Xᵢₜ includes seasonal controls and lagged price levels; and </w:t>
      </w:r>
      <w:r w:rsidRPr="0026085F">
        <w:rPr>
          <w:rFonts w:ascii="Cambria Math" w:hAnsi="Cambria Math" w:cs="Times New Roman"/>
        </w:rPr>
        <w:t>β₃</w:t>
      </w:r>
      <w:r>
        <w:rPr>
          <w:rFonts w:cs="Times New Roman"/>
        </w:rPr>
        <w:t xml:space="preserve"> is the DiD coefficient capturing the causal price effect of tariff removal. </w:t>
      </w:r>
      <w:r w:rsidR="0026085F">
        <w:rPr>
          <w:rFonts w:cs="Times New Roman"/>
        </w:rPr>
        <w:t>Quintile specific</w:t>
      </w:r>
      <w:r>
        <w:rPr>
          <w:rFonts w:cs="Times New Roman"/>
        </w:rPr>
        <w:t xml:space="preserve"> welfare losses are then constructed by weighting </w:t>
      </w:r>
      <w:r w:rsidRPr="0026085F">
        <w:rPr>
          <w:rFonts w:ascii="Cambria Math" w:hAnsi="Cambria Math" w:cs="Times New Roman"/>
        </w:rPr>
        <w:t>β₃</w:t>
      </w:r>
      <w:r>
        <w:rPr>
          <w:rFonts w:cs="Times New Roman"/>
        </w:rPr>
        <w:t xml:space="preserve"> by category expenditure shares </w:t>
      </w:r>
      <w:r w:rsidRPr="0026085F">
        <w:rPr>
          <w:rFonts w:ascii="Cambria Math" w:hAnsi="Cambria Math" w:cs="Times New Roman"/>
        </w:rPr>
        <w:t>sᵢᵢ</w:t>
      </w:r>
      <w:r>
        <w:rPr>
          <w:rFonts w:cs="Times New Roman"/>
        </w:rPr>
        <w:t xml:space="preserve"> from the 2024 CEX.</w:t>
      </w:r>
    </w:p>
    <w:p w14:paraId="4AFCD20F" w14:textId="07EF1E69" w:rsidR="00C51332" w:rsidRPr="00D23AF2" w:rsidRDefault="00000000" w:rsidP="00D23AF2">
      <w:pPr>
        <w:spacing w:before="100" w:after="80" w:line="480" w:lineRule="auto"/>
        <w:rPr>
          <w:rFonts w:cs="Times New Roman"/>
        </w:rPr>
      </w:pPr>
      <w:r>
        <w:rPr>
          <w:rFonts w:cs="Times New Roman"/>
        </w:rPr>
        <w:t>Parallel trends in the pre</w:t>
      </w:r>
      <w:r w:rsidR="0026085F">
        <w:rPr>
          <w:rFonts w:cs="Times New Roman"/>
        </w:rPr>
        <w:t xml:space="preserve"> </w:t>
      </w:r>
      <w:r>
        <w:rPr>
          <w:rFonts w:cs="Times New Roman"/>
        </w:rPr>
        <w:t>period (January–April) are supported by the absence of differential pre</w:t>
      </w:r>
      <w:r w:rsidR="0026085F">
        <w:rPr>
          <w:rFonts w:cs="Times New Roman"/>
        </w:rPr>
        <w:t xml:space="preserve"> </w:t>
      </w:r>
      <w:r>
        <w:rPr>
          <w:rFonts w:cs="Times New Roman"/>
        </w:rPr>
        <w:t>trends across exposed and unexposed categories in CPI microdata prior to the April 2 tariff imposition. The ruling date is exogenous to household consumption behavior: the judicial decision turned on constitutional authority under the Major Questions Doctrine, not on economic conditions or price levels. This institutional source of variation provides clean identification of the tariff price channel.</w:t>
      </w:r>
    </w:p>
    <w:p w14:paraId="601368D5" w14:textId="77777777" w:rsidR="00C51332" w:rsidRPr="00D23AF2" w:rsidRDefault="00000000" w:rsidP="00D23AF2">
      <w:pPr>
        <w:spacing w:before="100" w:after="80" w:line="480" w:lineRule="auto"/>
        <w:rPr>
          <w:rFonts w:cs="Times New Roman"/>
        </w:rPr>
      </w:pPr>
      <w:r>
        <w:rPr>
          <w:rFonts w:cs="Times New Roman"/>
        </w:rPr>
        <w:t>All calculations use 2024 CEX weights held fixed throughout to isolate price effects from behavioral responses. Quintile boundaries follow BLS CEX definitions: Q1 (≤$17,000 pretax), Q2 ($17,001–$35,000), Q3 ($35,001–$62,000), Q4 ($62,001–$104,000), Q5 (&gt;$104,000), with top quintile average income of $265,000.</w:t>
      </w:r>
    </w:p>
    <w:p w14:paraId="63A995FC" w14:textId="77777777" w:rsidR="00C51332" w:rsidRPr="00D23AF2" w:rsidRDefault="00000000" w:rsidP="00D23AF2">
      <w:pPr>
        <w:spacing w:before="100" w:after="80" w:line="480" w:lineRule="auto"/>
        <w:rPr>
          <w:rFonts w:cs="Times New Roman"/>
        </w:rPr>
      </w:pPr>
      <w:r>
        <w:rPr>
          <w:rFonts w:cs="Times New Roman"/>
          <w:b/>
          <w:bCs/>
        </w:rPr>
        <w:t>4.3  Welfare Loss Calculation</w:t>
      </w:r>
    </w:p>
    <w:p w14:paraId="7BEBBFE2" w14:textId="0FA6A71A" w:rsidR="00C51332" w:rsidRPr="00D23AF2" w:rsidRDefault="0026085F" w:rsidP="00D23AF2">
      <w:pPr>
        <w:spacing w:before="100" w:after="80" w:line="480" w:lineRule="auto"/>
        <w:rPr>
          <w:rFonts w:cs="Times New Roman"/>
        </w:rPr>
      </w:pPr>
      <w:r>
        <w:rPr>
          <w:rFonts w:cs="Times New Roman"/>
        </w:rPr>
        <w:lastRenderedPageBreak/>
        <w:t>Quintile level</w:t>
      </w:r>
      <w:r w:rsidR="00000000">
        <w:rPr>
          <w:rFonts w:cs="Times New Roman"/>
        </w:rPr>
        <w:t xml:space="preserve"> annual welfare loss (δᵢ in dollar terms) is computed as Σᵢ</w:t>
      </w:r>
      <w:r w:rsidR="00000000">
        <w:rPr>
          <w:rFonts w:ascii="Cambria Math" w:hAnsi="Cambria Math" w:cs="Cambria Math"/>
        </w:rPr>
        <w:t>∈</w:t>
      </w:r>
      <w:r w:rsidR="00000000">
        <w:rPr>
          <w:rFonts w:cs="Times New Roman"/>
        </w:rPr>
        <w:t>Ω (τᵢ × sᵢᵢ × cᵢ), where tariff rates τᵢ are from Yale Budget Lab (2025a), expenditure shares sᵢᵢ from the 2024 CEX, and c_q is total quintile consumption from CEX. Income burden is welfare loss divided by quintile mean pretax income. The pre</w:t>
      </w:r>
      <w:r>
        <w:rPr>
          <w:rFonts w:cs="Times New Roman"/>
        </w:rPr>
        <w:t xml:space="preserve"> </w:t>
      </w:r>
      <w:r w:rsidR="00000000">
        <w:rPr>
          <w:rFonts w:cs="Times New Roman"/>
        </w:rPr>
        <w:t>ruling period uses τᵢ calibrated to the full IEEPA schedule (average 18.3 percent); the post</w:t>
      </w:r>
      <w:r>
        <w:rPr>
          <w:rFonts w:cs="Times New Roman"/>
        </w:rPr>
        <w:t xml:space="preserve"> </w:t>
      </w:r>
      <w:r w:rsidR="00000000">
        <w:rPr>
          <w:rFonts w:cs="Times New Roman"/>
        </w:rPr>
        <w:t>ruling period uses the narrowed schedule (average 9.1 percent). Standard errors on DiD estimates are clustered at the product category level.</w:t>
      </w:r>
    </w:p>
    <w:p w14:paraId="1E2D2B0D" w14:textId="77777777" w:rsidR="00C51332" w:rsidRPr="00D23AF2" w:rsidRDefault="00000000" w:rsidP="00D23AF2">
      <w:pPr>
        <w:spacing w:before="240" w:after="120" w:line="480" w:lineRule="auto"/>
        <w:rPr>
          <w:rFonts w:cs="Times New Roman"/>
        </w:rPr>
      </w:pPr>
      <w:r>
        <w:rPr>
          <w:rFonts w:cs="Times New Roman"/>
          <w:b/>
          <w:bCs/>
        </w:rPr>
        <w:t>5.  RESULTS AND EMPIRICAL FINDINGS</w:t>
      </w:r>
    </w:p>
    <w:p w14:paraId="45D9656B" w14:textId="77777777" w:rsidR="00C51332" w:rsidRPr="00750ABF" w:rsidRDefault="00000000" w:rsidP="00D23AF2">
      <w:pPr>
        <w:spacing w:before="100" w:after="80" w:line="480" w:lineRule="auto"/>
        <w:rPr>
          <w:rFonts w:cs="Times New Roman"/>
          <w:i/>
          <w:iCs/>
        </w:rPr>
      </w:pPr>
      <w:r w:rsidRPr="00750ABF">
        <w:rPr>
          <w:rFonts w:cs="Times New Roman"/>
          <w:i/>
          <w:iCs/>
        </w:rPr>
        <w:t>5.1  Full IEEPA Incidence: Testing H1</w:t>
      </w:r>
    </w:p>
    <w:p w14:paraId="40148F97" w14:textId="37172E12" w:rsidR="00C51332" w:rsidRPr="00D23AF2" w:rsidRDefault="00000000" w:rsidP="00D23AF2">
      <w:pPr>
        <w:spacing w:before="100" w:after="80" w:line="480" w:lineRule="auto"/>
        <w:rPr>
          <w:rFonts w:cs="Times New Roman"/>
        </w:rPr>
      </w:pPr>
      <w:r>
        <w:rPr>
          <w:rFonts w:cs="Times New Roman"/>
        </w:rPr>
        <w:t xml:space="preserve">Table 3 reports welfare losses and income burdens across all five quintiles under the full IEEPA regime. The bottom quintile (mean pretax income $17,000) sustained annual losses of $1,300, equivalent to 7.6 percent of income. The top quintile (mean income $265,000) sustained losses of $4,550 in absolute terms but only 1.3 percent of income. The ratio of </w:t>
      </w:r>
      <w:r w:rsidR="0026085F">
        <w:rPr>
          <w:rFonts w:cs="Times New Roman"/>
        </w:rPr>
        <w:t>bottom-to-top</w:t>
      </w:r>
      <w:r>
        <w:rPr>
          <w:rFonts w:cs="Times New Roman"/>
        </w:rPr>
        <w:t xml:space="preserve"> income burden is 5.8, confirming strongly regressive incidence (H1). The gradient is monotonic across all five quintiles, consistent with the </w:t>
      </w:r>
      <w:r w:rsidR="0026085F">
        <w:rPr>
          <w:rFonts w:cs="Times New Roman"/>
        </w:rPr>
        <w:t>expenditure share</w:t>
      </w:r>
      <w:r>
        <w:rPr>
          <w:rFonts w:cs="Times New Roman"/>
        </w:rPr>
        <w:t xml:space="preserve"> mechanism: each step up the income distribution is associated with a lower budget share in </w:t>
      </w:r>
      <w:r w:rsidR="0026085F">
        <w:rPr>
          <w:rFonts w:cs="Times New Roman"/>
        </w:rPr>
        <w:t>tariff exposed</w:t>
      </w:r>
      <w:r>
        <w:rPr>
          <w:rFonts w:cs="Times New Roman"/>
        </w:rPr>
        <w:t xml:space="preserve"> necessity categories.</w:t>
      </w:r>
    </w:p>
    <w:p w14:paraId="6FD565E6" w14:textId="77777777" w:rsidR="00C51332" w:rsidRPr="00D23AF2" w:rsidRDefault="00C51332" w:rsidP="00D23AF2">
      <w:pPr>
        <w:spacing w:before="80" w:line="480" w:lineRule="auto"/>
        <w:rPr>
          <w:rFonts w:cs="Times New Roman"/>
        </w:rPr>
      </w:pPr>
    </w:p>
    <w:p w14:paraId="68B324C9" w14:textId="3992D378" w:rsidR="00C51332" w:rsidRPr="00D23AF2" w:rsidRDefault="00000000" w:rsidP="00D23AF2">
      <w:pPr>
        <w:spacing w:after="80" w:line="480" w:lineRule="auto"/>
        <w:rPr>
          <w:rFonts w:cs="Times New Roman"/>
        </w:rPr>
      </w:pPr>
      <w:r>
        <w:rPr>
          <w:rFonts w:cs="Times New Roman"/>
          <w:b/>
          <w:bCs/>
        </w:rPr>
        <w:t xml:space="preserve">Table 3.  </w:t>
      </w:r>
      <w:r w:rsidR="0026085F">
        <w:rPr>
          <w:rFonts w:cs="Times New Roman"/>
          <w:b/>
          <w:bCs/>
        </w:rPr>
        <w:t>Quintile Level</w:t>
      </w:r>
      <w:r>
        <w:rPr>
          <w:rFonts w:cs="Times New Roman"/>
          <w:b/>
          <w:bCs/>
        </w:rPr>
        <w:t xml:space="preserve"> Welfare Losses: Full IEEPA Regime vs. </w:t>
      </w:r>
      <w:r w:rsidR="0026085F">
        <w:rPr>
          <w:rFonts w:cs="Times New Roman"/>
          <w:b/>
          <w:bCs/>
        </w:rPr>
        <w:t>Post SCOTUS</w:t>
      </w:r>
      <w:r>
        <w:rPr>
          <w:rFonts w:cs="Times New Roman"/>
          <w:b/>
          <w:bCs/>
        </w:rPr>
        <w:t xml:space="preserve"> Equilibrium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6"/>
        <w:gridCol w:w="1026"/>
        <w:gridCol w:w="1073"/>
        <w:gridCol w:w="1123"/>
        <w:gridCol w:w="1132"/>
        <w:gridCol w:w="1214"/>
        <w:gridCol w:w="1214"/>
        <w:gridCol w:w="1272"/>
      </w:tblGrid>
      <w:tr w:rsidR="00A03EA4" w14:paraId="571DF338" w14:textId="77777777" w:rsidTr="00750ABF">
        <w:trPr>
          <w:tblHeader/>
        </w:trPr>
        <w:tc>
          <w:tcPr>
            <w:tcW w:w="1500" w:type="dxa"/>
            <w:shd w:val="clear" w:color="auto" w:fill="auto"/>
            <w:tcMar>
              <w:top w:w="60" w:type="dxa"/>
              <w:left w:w="100" w:type="dxa"/>
              <w:bottom w:w="60" w:type="dxa"/>
              <w:right w:w="100" w:type="dxa"/>
            </w:tcMar>
            <w:vAlign w:val="center"/>
          </w:tcPr>
          <w:p w14:paraId="3B971301" w14:textId="77777777" w:rsidR="00C51332" w:rsidRPr="00750ABF" w:rsidRDefault="00000000" w:rsidP="00D23AF2">
            <w:pPr>
              <w:spacing w:line="480" w:lineRule="auto"/>
              <w:rPr>
                <w:rFonts w:cs="Times New Roman"/>
                <w:b/>
                <w:bCs/>
              </w:rPr>
            </w:pPr>
            <w:r w:rsidRPr="00750ABF">
              <w:rPr>
                <w:rFonts w:cs="Times New Roman"/>
                <w:b/>
                <w:bCs/>
              </w:rPr>
              <w:lastRenderedPageBreak/>
              <w:t>Quintile</w:t>
            </w:r>
          </w:p>
        </w:tc>
        <w:tc>
          <w:tcPr>
            <w:tcW w:w="1100" w:type="dxa"/>
            <w:shd w:val="clear" w:color="auto" w:fill="auto"/>
            <w:tcMar>
              <w:top w:w="60" w:type="dxa"/>
              <w:left w:w="100" w:type="dxa"/>
              <w:bottom w:w="60" w:type="dxa"/>
              <w:right w:w="100" w:type="dxa"/>
            </w:tcMar>
            <w:vAlign w:val="center"/>
          </w:tcPr>
          <w:p w14:paraId="2DC0DAFE" w14:textId="77777777" w:rsidR="00C51332" w:rsidRPr="00750ABF" w:rsidRDefault="00000000" w:rsidP="00D23AF2">
            <w:pPr>
              <w:spacing w:line="480" w:lineRule="auto"/>
              <w:rPr>
                <w:rFonts w:cs="Times New Roman"/>
                <w:b/>
                <w:bCs/>
              </w:rPr>
            </w:pPr>
            <w:r w:rsidRPr="00750ABF">
              <w:rPr>
                <w:rFonts w:cs="Times New Roman"/>
                <w:b/>
                <w:bCs/>
              </w:rPr>
              <w:t>Mean Income ($)</w:t>
            </w:r>
          </w:p>
        </w:tc>
        <w:tc>
          <w:tcPr>
            <w:tcW w:w="1300" w:type="dxa"/>
            <w:shd w:val="clear" w:color="auto" w:fill="auto"/>
            <w:tcMar>
              <w:top w:w="60" w:type="dxa"/>
              <w:left w:w="100" w:type="dxa"/>
              <w:bottom w:w="60" w:type="dxa"/>
              <w:right w:w="100" w:type="dxa"/>
            </w:tcMar>
            <w:vAlign w:val="center"/>
          </w:tcPr>
          <w:p w14:paraId="5A9DFCA4" w14:textId="77777777" w:rsidR="00C51332" w:rsidRPr="00750ABF" w:rsidRDefault="00000000" w:rsidP="00D23AF2">
            <w:pPr>
              <w:spacing w:line="480" w:lineRule="auto"/>
              <w:rPr>
                <w:rFonts w:cs="Times New Roman"/>
                <w:b/>
                <w:bCs/>
              </w:rPr>
            </w:pPr>
            <w:r w:rsidRPr="00750ABF">
              <w:rPr>
                <w:rFonts w:cs="Times New Roman"/>
                <w:b/>
                <w:bCs/>
              </w:rPr>
              <w:t>IEEPA Loss ($)</w:t>
            </w:r>
          </w:p>
        </w:tc>
        <w:tc>
          <w:tcPr>
            <w:tcW w:w="1300" w:type="dxa"/>
            <w:shd w:val="clear" w:color="auto" w:fill="auto"/>
            <w:tcMar>
              <w:top w:w="60" w:type="dxa"/>
              <w:left w:w="100" w:type="dxa"/>
              <w:bottom w:w="60" w:type="dxa"/>
              <w:right w:w="100" w:type="dxa"/>
            </w:tcMar>
            <w:vAlign w:val="center"/>
          </w:tcPr>
          <w:p w14:paraId="79F20C85" w14:textId="77777777" w:rsidR="00C51332" w:rsidRPr="00750ABF" w:rsidRDefault="00000000" w:rsidP="00D23AF2">
            <w:pPr>
              <w:spacing w:line="480" w:lineRule="auto"/>
              <w:rPr>
                <w:rFonts w:cs="Times New Roman"/>
                <w:b/>
                <w:bCs/>
              </w:rPr>
            </w:pPr>
            <w:r w:rsidRPr="00750ABF">
              <w:rPr>
                <w:rFonts w:cs="Times New Roman"/>
                <w:b/>
                <w:bCs/>
              </w:rPr>
              <w:t>IEEPA Burden (% income)</w:t>
            </w:r>
          </w:p>
        </w:tc>
        <w:tc>
          <w:tcPr>
            <w:tcW w:w="1260" w:type="dxa"/>
            <w:shd w:val="clear" w:color="auto" w:fill="auto"/>
            <w:tcMar>
              <w:top w:w="60" w:type="dxa"/>
              <w:left w:w="100" w:type="dxa"/>
              <w:bottom w:w="60" w:type="dxa"/>
              <w:right w:w="100" w:type="dxa"/>
            </w:tcMar>
            <w:vAlign w:val="center"/>
          </w:tcPr>
          <w:p w14:paraId="55D74E90" w14:textId="77777777" w:rsidR="00C51332" w:rsidRPr="00750ABF" w:rsidRDefault="00000000" w:rsidP="00D23AF2">
            <w:pPr>
              <w:spacing w:line="480" w:lineRule="auto"/>
              <w:rPr>
                <w:rFonts w:cs="Times New Roman"/>
                <w:b/>
                <w:bCs/>
              </w:rPr>
            </w:pPr>
            <w:r w:rsidRPr="00750ABF">
              <w:rPr>
                <w:rFonts w:cs="Times New Roman"/>
                <w:b/>
                <w:bCs/>
              </w:rPr>
              <w:t>Exp. Share Tariffed Goods (%)</w:t>
            </w:r>
          </w:p>
        </w:tc>
        <w:tc>
          <w:tcPr>
            <w:tcW w:w="1300" w:type="dxa"/>
            <w:shd w:val="clear" w:color="auto" w:fill="auto"/>
            <w:tcMar>
              <w:top w:w="60" w:type="dxa"/>
              <w:left w:w="100" w:type="dxa"/>
              <w:bottom w:w="60" w:type="dxa"/>
              <w:right w:w="100" w:type="dxa"/>
            </w:tcMar>
            <w:vAlign w:val="center"/>
          </w:tcPr>
          <w:p w14:paraId="3FEDDB14" w14:textId="7C413940" w:rsidR="00C51332" w:rsidRPr="00750ABF" w:rsidRDefault="0026085F" w:rsidP="00D23AF2">
            <w:pPr>
              <w:spacing w:line="480" w:lineRule="auto"/>
              <w:rPr>
                <w:rFonts w:cs="Times New Roman"/>
                <w:b/>
                <w:bCs/>
              </w:rPr>
            </w:pPr>
            <w:r w:rsidRPr="00750ABF">
              <w:rPr>
                <w:rFonts w:cs="Times New Roman"/>
                <w:b/>
                <w:bCs/>
              </w:rPr>
              <w:t>Post SCOTUS</w:t>
            </w:r>
            <w:r w:rsidR="00000000" w:rsidRPr="00750ABF">
              <w:rPr>
                <w:rFonts w:cs="Times New Roman"/>
                <w:b/>
                <w:bCs/>
              </w:rPr>
              <w:t xml:space="preserve"> Loss ($)</w:t>
            </w:r>
          </w:p>
        </w:tc>
        <w:tc>
          <w:tcPr>
            <w:tcW w:w="1300" w:type="dxa"/>
            <w:shd w:val="clear" w:color="auto" w:fill="auto"/>
            <w:tcMar>
              <w:top w:w="60" w:type="dxa"/>
              <w:left w:w="100" w:type="dxa"/>
              <w:bottom w:w="60" w:type="dxa"/>
              <w:right w:w="100" w:type="dxa"/>
            </w:tcMar>
            <w:vAlign w:val="center"/>
          </w:tcPr>
          <w:p w14:paraId="22FA7645" w14:textId="25EA8E81" w:rsidR="00C51332" w:rsidRPr="00750ABF" w:rsidRDefault="0026085F" w:rsidP="00D23AF2">
            <w:pPr>
              <w:spacing w:line="480" w:lineRule="auto"/>
              <w:rPr>
                <w:rFonts w:cs="Times New Roman"/>
                <w:b/>
                <w:bCs/>
              </w:rPr>
            </w:pPr>
            <w:r w:rsidRPr="00750ABF">
              <w:rPr>
                <w:rFonts w:cs="Times New Roman"/>
                <w:b/>
                <w:bCs/>
              </w:rPr>
              <w:t>Post SCOTUS</w:t>
            </w:r>
            <w:r w:rsidR="00000000" w:rsidRPr="00750ABF">
              <w:rPr>
                <w:rFonts w:cs="Times New Roman"/>
                <w:b/>
                <w:bCs/>
              </w:rPr>
              <w:t xml:space="preserve"> Burden (% income)</w:t>
            </w:r>
          </w:p>
        </w:tc>
        <w:tc>
          <w:tcPr>
            <w:tcW w:w="1300" w:type="dxa"/>
            <w:shd w:val="clear" w:color="auto" w:fill="auto"/>
            <w:tcMar>
              <w:top w:w="60" w:type="dxa"/>
              <w:left w:w="100" w:type="dxa"/>
              <w:bottom w:w="60" w:type="dxa"/>
              <w:right w:w="100" w:type="dxa"/>
            </w:tcMar>
            <w:vAlign w:val="center"/>
          </w:tcPr>
          <w:p w14:paraId="7D97ED09" w14:textId="77777777" w:rsidR="00C51332" w:rsidRPr="00750ABF" w:rsidRDefault="00000000" w:rsidP="00D23AF2">
            <w:pPr>
              <w:spacing w:line="480" w:lineRule="auto"/>
              <w:rPr>
                <w:rFonts w:cs="Times New Roman"/>
                <w:b/>
                <w:bCs/>
              </w:rPr>
            </w:pPr>
            <w:r w:rsidRPr="00750ABF">
              <w:rPr>
                <w:rFonts w:cs="Times New Roman"/>
                <w:b/>
                <w:bCs/>
              </w:rPr>
              <w:t>Loss Reduction (%)</w:t>
            </w:r>
          </w:p>
        </w:tc>
      </w:tr>
      <w:tr w:rsidR="00A03EA4" w14:paraId="697FA705" w14:textId="77777777">
        <w:tc>
          <w:tcPr>
            <w:tcW w:w="1500" w:type="dxa"/>
            <w:tcMar>
              <w:top w:w="60" w:type="dxa"/>
              <w:left w:w="100" w:type="dxa"/>
              <w:bottom w:w="60" w:type="dxa"/>
              <w:right w:w="100" w:type="dxa"/>
            </w:tcMar>
            <w:vAlign w:val="center"/>
          </w:tcPr>
          <w:p w14:paraId="27FE9274" w14:textId="77777777" w:rsidR="00C51332" w:rsidRPr="00D23AF2" w:rsidRDefault="00000000" w:rsidP="00D23AF2">
            <w:pPr>
              <w:spacing w:line="480" w:lineRule="auto"/>
              <w:rPr>
                <w:rFonts w:cs="Times New Roman"/>
              </w:rPr>
            </w:pPr>
            <w:r>
              <w:rPr>
                <w:rFonts w:cs="Times New Roman"/>
              </w:rPr>
              <w:t>Q1 (Bottom)</w:t>
            </w:r>
          </w:p>
        </w:tc>
        <w:tc>
          <w:tcPr>
            <w:tcW w:w="1100" w:type="dxa"/>
            <w:tcMar>
              <w:top w:w="60" w:type="dxa"/>
              <w:left w:w="100" w:type="dxa"/>
              <w:bottom w:w="60" w:type="dxa"/>
              <w:right w:w="100" w:type="dxa"/>
            </w:tcMar>
            <w:vAlign w:val="center"/>
          </w:tcPr>
          <w:p w14:paraId="6C452A7B" w14:textId="77777777" w:rsidR="00C51332" w:rsidRPr="00D23AF2" w:rsidRDefault="00000000" w:rsidP="00D23AF2">
            <w:pPr>
              <w:spacing w:line="480" w:lineRule="auto"/>
              <w:jc w:val="center"/>
              <w:rPr>
                <w:rFonts w:cs="Times New Roman"/>
              </w:rPr>
            </w:pPr>
            <w:r>
              <w:rPr>
                <w:rFonts w:cs="Times New Roman"/>
              </w:rPr>
              <w:t>17,000</w:t>
            </w:r>
          </w:p>
        </w:tc>
        <w:tc>
          <w:tcPr>
            <w:tcW w:w="1300" w:type="dxa"/>
            <w:tcMar>
              <w:top w:w="60" w:type="dxa"/>
              <w:left w:w="100" w:type="dxa"/>
              <w:bottom w:w="60" w:type="dxa"/>
              <w:right w:w="100" w:type="dxa"/>
            </w:tcMar>
            <w:vAlign w:val="center"/>
          </w:tcPr>
          <w:p w14:paraId="347B8F52" w14:textId="77777777" w:rsidR="00C51332" w:rsidRPr="00D23AF2" w:rsidRDefault="00000000" w:rsidP="00D23AF2">
            <w:pPr>
              <w:spacing w:line="480" w:lineRule="auto"/>
              <w:jc w:val="center"/>
              <w:rPr>
                <w:rFonts w:cs="Times New Roman"/>
              </w:rPr>
            </w:pPr>
            <w:r>
              <w:rPr>
                <w:rFonts w:cs="Times New Roman"/>
              </w:rPr>
              <w:t>1,300</w:t>
            </w:r>
          </w:p>
        </w:tc>
        <w:tc>
          <w:tcPr>
            <w:tcW w:w="1300" w:type="dxa"/>
            <w:tcMar>
              <w:top w:w="60" w:type="dxa"/>
              <w:left w:w="100" w:type="dxa"/>
              <w:bottom w:w="60" w:type="dxa"/>
              <w:right w:w="100" w:type="dxa"/>
            </w:tcMar>
            <w:vAlign w:val="center"/>
          </w:tcPr>
          <w:p w14:paraId="03360027" w14:textId="77777777" w:rsidR="00C51332" w:rsidRPr="00D23AF2" w:rsidRDefault="00000000" w:rsidP="00D23AF2">
            <w:pPr>
              <w:spacing w:line="480" w:lineRule="auto"/>
              <w:jc w:val="center"/>
              <w:rPr>
                <w:rFonts w:cs="Times New Roman"/>
              </w:rPr>
            </w:pPr>
            <w:r>
              <w:rPr>
                <w:rFonts w:cs="Times New Roman"/>
              </w:rPr>
              <w:t>7.6</w:t>
            </w:r>
          </w:p>
        </w:tc>
        <w:tc>
          <w:tcPr>
            <w:tcW w:w="1260" w:type="dxa"/>
            <w:tcMar>
              <w:top w:w="60" w:type="dxa"/>
              <w:left w:w="100" w:type="dxa"/>
              <w:bottom w:w="60" w:type="dxa"/>
              <w:right w:w="100" w:type="dxa"/>
            </w:tcMar>
            <w:vAlign w:val="center"/>
          </w:tcPr>
          <w:p w14:paraId="49B096F5" w14:textId="77777777" w:rsidR="00C51332" w:rsidRPr="00D23AF2" w:rsidRDefault="00000000" w:rsidP="00D23AF2">
            <w:pPr>
              <w:spacing w:line="480" w:lineRule="auto"/>
              <w:jc w:val="center"/>
              <w:rPr>
                <w:rFonts w:cs="Times New Roman"/>
              </w:rPr>
            </w:pPr>
            <w:r>
              <w:rPr>
                <w:rFonts w:cs="Times New Roman"/>
              </w:rPr>
              <w:t>14.2</w:t>
            </w:r>
          </w:p>
        </w:tc>
        <w:tc>
          <w:tcPr>
            <w:tcW w:w="1300" w:type="dxa"/>
            <w:tcMar>
              <w:top w:w="60" w:type="dxa"/>
              <w:left w:w="100" w:type="dxa"/>
              <w:bottom w:w="60" w:type="dxa"/>
              <w:right w:w="100" w:type="dxa"/>
            </w:tcMar>
            <w:vAlign w:val="center"/>
          </w:tcPr>
          <w:p w14:paraId="169C1717" w14:textId="77777777" w:rsidR="00C51332" w:rsidRPr="00D23AF2" w:rsidRDefault="00000000" w:rsidP="00D23AF2">
            <w:pPr>
              <w:spacing w:line="480" w:lineRule="auto"/>
              <w:jc w:val="center"/>
              <w:rPr>
                <w:rFonts w:cs="Times New Roman"/>
              </w:rPr>
            </w:pPr>
            <w:r>
              <w:rPr>
                <w:rFonts w:cs="Times New Roman"/>
              </w:rPr>
              <w:t>400</w:t>
            </w:r>
          </w:p>
        </w:tc>
        <w:tc>
          <w:tcPr>
            <w:tcW w:w="1300" w:type="dxa"/>
            <w:tcMar>
              <w:top w:w="60" w:type="dxa"/>
              <w:left w:w="100" w:type="dxa"/>
              <w:bottom w:w="60" w:type="dxa"/>
              <w:right w:w="100" w:type="dxa"/>
            </w:tcMar>
            <w:vAlign w:val="center"/>
          </w:tcPr>
          <w:p w14:paraId="7D2E8EEA" w14:textId="77777777" w:rsidR="00C51332" w:rsidRPr="00D23AF2" w:rsidRDefault="00000000" w:rsidP="00D23AF2">
            <w:pPr>
              <w:spacing w:line="480" w:lineRule="auto"/>
              <w:jc w:val="center"/>
              <w:rPr>
                <w:rFonts w:cs="Times New Roman"/>
              </w:rPr>
            </w:pPr>
            <w:r>
              <w:rPr>
                <w:rFonts w:cs="Times New Roman"/>
              </w:rPr>
              <w:t>2.4</w:t>
            </w:r>
          </w:p>
        </w:tc>
        <w:tc>
          <w:tcPr>
            <w:tcW w:w="1300" w:type="dxa"/>
            <w:tcMar>
              <w:top w:w="60" w:type="dxa"/>
              <w:left w:w="100" w:type="dxa"/>
              <w:bottom w:w="60" w:type="dxa"/>
              <w:right w:w="100" w:type="dxa"/>
            </w:tcMar>
            <w:vAlign w:val="center"/>
          </w:tcPr>
          <w:p w14:paraId="7E2DA4BC" w14:textId="77777777" w:rsidR="00C51332" w:rsidRPr="00D23AF2" w:rsidRDefault="00000000" w:rsidP="00D23AF2">
            <w:pPr>
              <w:spacing w:line="480" w:lineRule="auto"/>
              <w:jc w:val="center"/>
              <w:rPr>
                <w:rFonts w:cs="Times New Roman"/>
              </w:rPr>
            </w:pPr>
            <w:r>
              <w:rPr>
                <w:rFonts w:cs="Times New Roman"/>
              </w:rPr>
              <w:t>69</w:t>
            </w:r>
          </w:p>
        </w:tc>
      </w:tr>
      <w:tr w:rsidR="00A03EA4" w14:paraId="22A1D810" w14:textId="77777777">
        <w:tc>
          <w:tcPr>
            <w:tcW w:w="1500" w:type="dxa"/>
            <w:tcMar>
              <w:top w:w="60" w:type="dxa"/>
              <w:left w:w="100" w:type="dxa"/>
              <w:bottom w:w="60" w:type="dxa"/>
              <w:right w:w="100" w:type="dxa"/>
            </w:tcMar>
            <w:vAlign w:val="center"/>
          </w:tcPr>
          <w:p w14:paraId="34560DF5" w14:textId="77777777" w:rsidR="00C51332" w:rsidRPr="00D23AF2" w:rsidRDefault="00000000" w:rsidP="00D23AF2">
            <w:pPr>
              <w:spacing w:line="480" w:lineRule="auto"/>
              <w:rPr>
                <w:rFonts w:cs="Times New Roman"/>
              </w:rPr>
            </w:pPr>
            <w:r>
              <w:rPr>
                <w:rFonts w:cs="Times New Roman"/>
              </w:rPr>
              <w:t>Q2</w:t>
            </w:r>
          </w:p>
        </w:tc>
        <w:tc>
          <w:tcPr>
            <w:tcW w:w="1100" w:type="dxa"/>
            <w:tcMar>
              <w:top w:w="60" w:type="dxa"/>
              <w:left w:w="100" w:type="dxa"/>
              <w:bottom w:w="60" w:type="dxa"/>
              <w:right w:w="100" w:type="dxa"/>
            </w:tcMar>
            <w:vAlign w:val="center"/>
          </w:tcPr>
          <w:p w14:paraId="646238D5" w14:textId="77777777" w:rsidR="00C51332" w:rsidRPr="00D23AF2" w:rsidRDefault="00000000" w:rsidP="00D23AF2">
            <w:pPr>
              <w:spacing w:line="480" w:lineRule="auto"/>
              <w:jc w:val="center"/>
              <w:rPr>
                <w:rFonts w:cs="Times New Roman"/>
              </w:rPr>
            </w:pPr>
            <w:r>
              <w:rPr>
                <w:rFonts w:cs="Times New Roman"/>
              </w:rPr>
              <w:t>26,000</w:t>
            </w:r>
          </w:p>
        </w:tc>
        <w:tc>
          <w:tcPr>
            <w:tcW w:w="1300" w:type="dxa"/>
            <w:tcMar>
              <w:top w:w="60" w:type="dxa"/>
              <w:left w:w="100" w:type="dxa"/>
              <w:bottom w:w="60" w:type="dxa"/>
              <w:right w:w="100" w:type="dxa"/>
            </w:tcMar>
            <w:vAlign w:val="center"/>
          </w:tcPr>
          <w:p w14:paraId="272B3280" w14:textId="77777777" w:rsidR="00C51332" w:rsidRPr="00D23AF2" w:rsidRDefault="00000000" w:rsidP="00D23AF2">
            <w:pPr>
              <w:spacing w:line="480" w:lineRule="auto"/>
              <w:jc w:val="center"/>
              <w:rPr>
                <w:rFonts w:cs="Times New Roman"/>
              </w:rPr>
            </w:pPr>
            <w:r>
              <w:rPr>
                <w:rFonts w:cs="Times New Roman"/>
              </w:rPr>
              <w:t>1,800</w:t>
            </w:r>
          </w:p>
        </w:tc>
        <w:tc>
          <w:tcPr>
            <w:tcW w:w="1300" w:type="dxa"/>
            <w:tcMar>
              <w:top w:w="60" w:type="dxa"/>
              <w:left w:w="100" w:type="dxa"/>
              <w:bottom w:w="60" w:type="dxa"/>
              <w:right w:w="100" w:type="dxa"/>
            </w:tcMar>
            <w:vAlign w:val="center"/>
          </w:tcPr>
          <w:p w14:paraId="3F3D1A4A" w14:textId="77777777" w:rsidR="00C51332" w:rsidRPr="00D23AF2" w:rsidRDefault="00000000" w:rsidP="00D23AF2">
            <w:pPr>
              <w:spacing w:line="480" w:lineRule="auto"/>
              <w:jc w:val="center"/>
              <w:rPr>
                <w:rFonts w:cs="Times New Roman"/>
              </w:rPr>
            </w:pPr>
            <w:r>
              <w:rPr>
                <w:rFonts w:cs="Times New Roman"/>
              </w:rPr>
              <w:t>6.9</w:t>
            </w:r>
          </w:p>
        </w:tc>
        <w:tc>
          <w:tcPr>
            <w:tcW w:w="1260" w:type="dxa"/>
            <w:tcMar>
              <w:top w:w="60" w:type="dxa"/>
              <w:left w:w="100" w:type="dxa"/>
              <w:bottom w:w="60" w:type="dxa"/>
              <w:right w:w="100" w:type="dxa"/>
            </w:tcMar>
            <w:vAlign w:val="center"/>
          </w:tcPr>
          <w:p w14:paraId="26264ECB" w14:textId="77777777" w:rsidR="00C51332" w:rsidRPr="00D23AF2" w:rsidRDefault="00000000" w:rsidP="00D23AF2">
            <w:pPr>
              <w:spacing w:line="480" w:lineRule="auto"/>
              <w:jc w:val="center"/>
              <w:rPr>
                <w:rFonts w:cs="Times New Roman"/>
              </w:rPr>
            </w:pPr>
            <w:r>
              <w:rPr>
                <w:rFonts w:cs="Times New Roman"/>
              </w:rPr>
              <w:t>12.8</w:t>
            </w:r>
          </w:p>
        </w:tc>
        <w:tc>
          <w:tcPr>
            <w:tcW w:w="1300" w:type="dxa"/>
            <w:tcMar>
              <w:top w:w="60" w:type="dxa"/>
              <w:left w:w="100" w:type="dxa"/>
              <w:bottom w:w="60" w:type="dxa"/>
              <w:right w:w="100" w:type="dxa"/>
            </w:tcMar>
            <w:vAlign w:val="center"/>
          </w:tcPr>
          <w:p w14:paraId="26A98748" w14:textId="77777777" w:rsidR="00C51332" w:rsidRPr="00D23AF2" w:rsidRDefault="00000000" w:rsidP="00D23AF2">
            <w:pPr>
              <w:spacing w:line="480" w:lineRule="auto"/>
              <w:jc w:val="center"/>
              <w:rPr>
                <w:rFonts w:cs="Times New Roman"/>
              </w:rPr>
            </w:pPr>
            <w:r>
              <w:rPr>
                <w:rFonts w:cs="Times New Roman"/>
              </w:rPr>
              <w:t>575</w:t>
            </w:r>
          </w:p>
        </w:tc>
        <w:tc>
          <w:tcPr>
            <w:tcW w:w="1300" w:type="dxa"/>
            <w:tcMar>
              <w:top w:w="60" w:type="dxa"/>
              <w:left w:w="100" w:type="dxa"/>
              <w:bottom w:w="60" w:type="dxa"/>
              <w:right w:w="100" w:type="dxa"/>
            </w:tcMar>
            <w:vAlign w:val="center"/>
          </w:tcPr>
          <w:p w14:paraId="50B79E36" w14:textId="77777777" w:rsidR="00C51332" w:rsidRPr="00D23AF2" w:rsidRDefault="00000000" w:rsidP="00D23AF2">
            <w:pPr>
              <w:spacing w:line="480" w:lineRule="auto"/>
              <w:jc w:val="center"/>
              <w:rPr>
                <w:rFonts w:cs="Times New Roman"/>
              </w:rPr>
            </w:pPr>
            <w:r>
              <w:rPr>
                <w:rFonts w:cs="Times New Roman"/>
              </w:rPr>
              <w:t>2.2</w:t>
            </w:r>
          </w:p>
        </w:tc>
        <w:tc>
          <w:tcPr>
            <w:tcW w:w="1300" w:type="dxa"/>
            <w:tcMar>
              <w:top w:w="60" w:type="dxa"/>
              <w:left w:w="100" w:type="dxa"/>
              <w:bottom w:w="60" w:type="dxa"/>
              <w:right w:w="100" w:type="dxa"/>
            </w:tcMar>
            <w:vAlign w:val="center"/>
          </w:tcPr>
          <w:p w14:paraId="2F3D5B47" w14:textId="77777777" w:rsidR="00C51332" w:rsidRPr="00D23AF2" w:rsidRDefault="00000000" w:rsidP="00D23AF2">
            <w:pPr>
              <w:spacing w:line="480" w:lineRule="auto"/>
              <w:jc w:val="center"/>
              <w:rPr>
                <w:rFonts w:cs="Times New Roman"/>
              </w:rPr>
            </w:pPr>
            <w:r>
              <w:rPr>
                <w:rFonts w:cs="Times New Roman"/>
              </w:rPr>
              <w:t>68</w:t>
            </w:r>
          </w:p>
        </w:tc>
      </w:tr>
      <w:tr w:rsidR="00A03EA4" w14:paraId="07C55CA8" w14:textId="77777777">
        <w:tc>
          <w:tcPr>
            <w:tcW w:w="1500" w:type="dxa"/>
            <w:tcMar>
              <w:top w:w="60" w:type="dxa"/>
              <w:left w:w="100" w:type="dxa"/>
              <w:bottom w:w="60" w:type="dxa"/>
              <w:right w:w="100" w:type="dxa"/>
            </w:tcMar>
            <w:vAlign w:val="center"/>
          </w:tcPr>
          <w:p w14:paraId="37E1B129" w14:textId="77777777" w:rsidR="00C51332" w:rsidRPr="00D23AF2" w:rsidRDefault="00000000" w:rsidP="00D23AF2">
            <w:pPr>
              <w:spacing w:line="480" w:lineRule="auto"/>
              <w:rPr>
                <w:rFonts w:cs="Times New Roman"/>
              </w:rPr>
            </w:pPr>
            <w:r>
              <w:rPr>
                <w:rFonts w:cs="Times New Roman"/>
              </w:rPr>
              <w:t>Q3</w:t>
            </w:r>
          </w:p>
        </w:tc>
        <w:tc>
          <w:tcPr>
            <w:tcW w:w="1100" w:type="dxa"/>
            <w:tcMar>
              <w:top w:w="60" w:type="dxa"/>
              <w:left w:w="100" w:type="dxa"/>
              <w:bottom w:w="60" w:type="dxa"/>
              <w:right w:w="100" w:type="dxa"/>
            </w:tcMar>
            <w:vAlign w:val="center"/>
          </w:tcPr>
          <w:p w14:paraId="68565339" w14:textId="77777777" w:rsidR="00C51332" w:rsidRPr="00D23AF2" w:rsidRDefault="00000000" w:rsidP="00D23AF2">
            <w:pPr>
              <w:spacing w:line="480" w:lineRule="auto"/>
              <w:jc w:val="center"/>
              <w:rPr>
                <w:rFonts w:cs="Times New Roman"/>
              </w:rPr>
            </w:pPr>
            <w:r>
              <w:rPr>
                <w:rFonts w:cs="Times New Roman"/>
              </w:rPr>
              <w:t>47,000</w:t>
            </w:r>
          </w:p>
        </w:tc>
        <w:tc>
          <w:tcPr>
            <w:tcW w:w="1300" w:type="dxa"/>
            <w:tcMar>
              <w:top w:w="60" w:type="dxa"/>
              <w:left w:w="100" w:type="dxa"/>
              <w:bottom w:w="60" w:type="dxa"/>
              <w:right w:w="100" w:type="dxa"/>
            </w:tcMar>
            <w:vAlign w:val="center"/>
          </w:tcPr>
          <w:p w14:paraId="52C3B009" w14:textId="77777777" w:rsidR="00C51332" w:rsidRPr="00D23AF2" w:rsidRDefault="00000000" w:rsidP="00D23AF2">
            <w:pPr>
              <w:spacing w:line="480" w:lineRule="auto"/>
              <w:jc w:val="center"/>
              <w:rPr>
                <w:rFonts w:cs="Times New Roman"/>
              </w:rPr>
            </w:pPr>
            <w:r>
              <w:rPr>
                <w:rFonts w:cs="Times New Roman"/>
              </w:rPr>
              <w:t>2,200</w:t>
            </w:r>
          </w:p>
        </w:tc>
        <w:tc>
          <w:tcPr>
            <w:tcW w:w="1300" w:type="dxa"/>
            <w:tcMar>
              <w:top w:w="60" w:type="dxa"/>
              <w:left w:w="100" w:type="dxa"/>
              <w:bottom w:w="60" w:type="dxa"/>
              <w:right w:w="100" w:type="dxa"/>
            </w:tcMar>
            <w:vAlign w:val="center"/>
          </w:tcPr>
          <w:p w14:paraId="38452C8D" w14:textId="77777777" w:rsidR="00C51332" w:rsidRPr="00D23AF2" w:rsidRDefault="00000000" w:rsidP="00D23AF2">
            <w:pPr>
              <w:spacing w:line="480" w:lineRule="auto"/>
              <w:jc w:val="center"/>
              <w:rPr>
                <w:rFonts w:cs="Times New Roman"/>
              </w:rPr>
            </w:pPr>
            <w:r>
              <w:rPr>
                <w:rFonts w:cs="Times New Roman"/>
              </w:rPr>
              <w:t>4.7</w:t>
            </w:r>
          </w:p>
        </w:tc>
        <w:tc>
          <w:tcPr>
            <w:tcW w:w="1260" w:type="dxa"/>
            <w:tcMar>
              <w:top w:w="60" w:type="dxa"/>
              <w:left w:w="100" w:type="dxa"/>
              <w:bottom w:w="60" w:type="dxa"/>
              <w:right w:w="100" w:type="dxa"/>
            </w:tcMar>
            <w:vAlign w:val="center"/>
          </w:tcPr>
          <w:p w14:paraId="50CAEA8C" w14:textId="77777777" w:rsidR="00C51332" w:rsidRPr="00D23AF2" w:rsidRDefault="00000000" w:rsidP="00D23AF2">
            <w:pPr>
              <w:spacing w:line="480" w:lineRule="auto"/>
              <w:jc w:val="center"/>
              <w:rPr>
                <w:rFonts w:cs="Times New Roman"/>
              </w:rPr>
            </w:pPr>
            <w:r>
              <w:rPr>
                <w:rFonts w:cs="Times New Roman"/>
              </w:rPr>
              <w:t>10.4</w:t>
            </w:r>
          </w:p>
        </w:tc>
        <w:tc>
          <w:tcPr>
            <w:tcW w:w="1300" w:type="dxa"/>
            <w:tcMar>
              <w:top w:w="60" w:type="dxa"/>
              <w:left w:w="100" w:type="dxa"/>
              <w:bottom w:w="60" w:type="dxa"/>
              <w:right w:w="100" w:type="dxa"/>
            </w:tcMar>
            <w:vAlign w:val="center"/>
          </w:tcPr>
          <w:p w14:paraId="1394E816" w14:textId="77777777" w:rsidR="00C51332" w:rsidRPr="00D23AF2" w:rsidRDefault="00000000" w:rsidP="00D23AF2">
            <w:pPr>
              <w:spacing w:line="480" w:lineRule="auto"/>
              <w:jc w:val="center"/>
              <w:rPr>
                <w:rFonts w:cs="Times New Roman"/>
              </w:rPr>
            </w:pPr>
            <w:r>
              <w:rPr>
                <w:rFonts w:cs="Times New Roman"/>
              </w:rPr>
              <w:t>748</w:t>
            </w:r>
          </w:p>
        </w:tc>
        <w:tc>
          <w:tcPr>
            <w:tcW w:w="1300" w:type="dxa"/>
            <w:tcMar>
              <w:top w:w="60" w:type="dxa"/>
              <w:left w:w="100" w:type="dxa"/>
              <w:bottom w:w="60" w:type="dxa"/>
              <w:right w:w="100" w:type="dxa"/>
            </w:tcMar>
            <w:vAlign w:val="center"/>
          </w:tcPr>
          <w:p w14:paraId="529844B2" w14:textId="77777777" w:rsidR="00C51332" w:rsidRPr="00D23AF2" w:rsidRDefault="00000000" w:rsidP="00D23AF2">
            <w:pPr>
              <w:spacing w:line="480" w:lineRule="auto"/>
              <w:jc w:val="center"/>
              <w:rPr>
                <w:rFonts w:cs="Times New Roman"/>
              </w:rPr>
            </w:pPr>
            <w:r>
              <w:rPr>
                <w:rFonts w:cs="Times New Roman"/>
              </w:rPr>
              <w:t>1.6</w:t>
            </w:r>
          </w:p>
        </w:tc>
        <w:tc>
          <w:tcPr>
            <w:tcW w:w="1300" w:type="dxa"/>
            <w:tcMar>
              <w:top w:w="60" w:type="dxa"/>
              <w:left w:w="100" w:type="dxa"/>
              <w:bottom w:w="60" w:type="dxa"/>
              <w:right w:w="100" w:type="dxa"/>
            </w:tcMar>
            <w:vAlign w:val="center"/>
          </w:tcPr>
          <w:p w14:paraId="36903D0D" w14:textId="77777777" w:rsidR="00C51332" w:rsidRPr="00D23AF2" w:rsidRDefault="00000000" w:rsidP="00D23AF2">
            <w:pPr>
              <w:spacing w:line="480" w:lineRule="auto"/>
              <w:jc w:val="center"/>
              <w:rPr>
                <w:rFonts w:cs="Times New Roman"/>
              </w:rPr>
            </w:pPr>
            <w:r>
              <w:rPr>
                <w:rFonts w:cs="Times New Roman"/>
              </w:rPr>
              <w:t>66</w:t>
            </w:r>
          </w:p>
        </w:tc>
      </w:tr>
      <w:tr w:rsidR="00A03EA4" w14:paraId="086BBB44" w14:textId="77777777">
        <w:tc>
          <w:tcPr>
            <w:tcW w:w="1500" w:type="dxa"/>
            <w:tcMar>
              <w:top w:w="60" w:type="dxa"/>
              <w:left w:w="100" w:type="dxa"/>
              <w:bottom w:w="60" w:type="dxa"/>
              <w:right w:w="100" w:type="dxa"/>
            </w:tcMar>
            <w:vAlign w:val="center"/>
          </w:tcPr>
          <w:p w14:paraId="78DCC970" w14:textId="77777777" w:rsidR="00C51332" w:rsidRPr="00D23AF2" w:rsidRDefault="00000000" w:rsidP="00D23AF2">
            <w:pPr>
              <w:spacing w:line="480" w:lineRule="auto"/>
              <w:rPr>
                <w:rFonts w:cs="Times New Roman"/>
              </w:rPr>
            </w:pPr>
            <w:r>
              <w:rPr>
                <w:rFonts w:cs="Times New Roman"/>
              </w:rPr>
              <w:t>Q4</w:t>
            </w:r>
          </w:p>
        </w:tc>
        <w:tc>
          <w:tcPr>
            <w:tcW w:w="1100" w:type="dxa"/>
            <w:tcMar>
              <w:top w:w="60" w:type="dxa"/>
              <w:left w:w="100" w:type="dxa"/>
              <w:bottom w:w="60" w:type="dxa"/>
              <w:right w:w="100" w:type="dxa"/>
            </w:tcMar>
            <w:vAlign w:val="center"/>
          </w:tcPr>
          <w:p w14:paraId="4928CF03" w14:textId="77777777" w:rsidR="00C51332" w:rsidRPr="00D23AF2" w:rsidRDefault="00000000" w:rsidP="00D23AF2">
            <w:pPr>
              <w:spacing w:line="480" w:lineRule="auto"/>
              <w:jc w:val="center"/>
              <w:rPr>
                <w:rFonts w:cs="Times New Roman"/>
              </w:rPr>
            </w:pPr>
            <w:r>
              <w:rPr>
                <w:rFonts w:cs="Times New Roman"/>
              </w:rPr>
              <w:t>80,000</w:t>
            </w:r>
          </w:p>
        </w:tc>
        <w:tc>
          <w:tcPr>
            <w:tcW w:w="1300" w:type="dxa"/>
            <w:tcMar>
              <w:top w:w="60" w:type="dxa"/>
              <w:left w:w="100" w:type="dxa"/>
              <w:bottom w:w="60" w:type="dxa"/>
              <w:right w:w="100" w:type="dxa"/>
            </w:tcMar>
            <w:vAlign w:val="center"/>
          </w:tcPr>
          <w:p w14:paraId="3D9A9390" w14:textId="77777777" w:rsidR="00C51332" w:rsidRPr="00D23AF2" w:rsidRDefault="00000000" w:rsidP="00D23AF2">
            <w:pPr>
              <w:spacing w:line="480" w:lineRule="auto"/>
              <w:jc w:val="center"/>
              <w:rPr>
                <w:rFonts w:cs="Times New Roman"/>
              </w:rPr>
            </w:pPr>
            <w:r>
              <w:rPr>
                <w:rFonts w:cs="Times New Roman"/>
              </w:rPr>
              <w:t>3,100</w:t>
            </w:r>
          </w:p>
        </w:tc>
        <w:tc>
          <w:tcPr>
            <w:tcW w:w="1300" w:type="dxa"/>
            <w:tcMar>
              <w:top w:w="60" w:type="dxa"/>
              <w:left w:w="100" w:type="dxa"/>
              <w:bottom w:w="60" w:type="dxa"/>
              <w:right w:w="100" w:type="dxa"/>
            </w:tcMar>
            <w:vAlign w:val="center"/>
          </w:tcPr>
          <w:p w14:paraId="6E1BBD3F" w14:textId="77777777" w:rsidR="00C51332" w:rsidRPr="00D23AF2" w:rsidRDefault="00000000" w:rsidP="00D23AF2">
            <w:pPr>
              <w:spacing w:line="480" w:lineRule="auto"/>
              <w:jc w:val="center"/>
              <w:rPr>
                <w:rFonts w:cs="Times New Roman"/>
              </w:rPr>
            </w:pPr>
            <w:r>
              <w:rPr>
                <w:rFonts w:cs="Times New Roman"/>
              </w:rPr>
              <w:t>3.9</w:t>
            </w:r>
          </w:p>
        </w:tc>
        <w:tc>
          <w:tcPr>
            <w:tcW w:w="1260" w:type="dxa"/>
            <w:tcMar>
              <w:top w:w="60" w:type="dxa"/>
              <w:left w:w="100" w:type="dxa"/>
              <w:bottom w:w="60" w:type="dxa"/>
              <w:right w:w="100" w:type="dxa"/>
            </w:tcMar>
            <w:vAlign w:val="center"/>
          </w:tcPr>
          <w:p w14:paraId="39381418" w14:textId="77777777" w:rsidR="00C51332" w:rsidRPr="00D23AF2" w:rsidRDefault="00000000" w:rsidP="00D23AF2">
            <w:pPr>
              <w:spacing w:line="480" w:lineRule="auto"/>
              <w:jc w:val="center"/>
              <w:rPr>
                <w:rFonts w:cs="Times New Roman"/>
              </w:rPr>
            </w:pPr>
            <w:r>
              <w:rPr>
                <w:rFonts w:cs="Times New Roman"/>
              </w:rPr>
              <w:t>8.7</w:t>
            </w:r>
          </w:p>
        </w:tc>
        <w:tc>
          <w:tcPr>
            <w:tcW w:w="1300" w:type="dxa"/>
            <w:tcMar>
              <w:top w:w="60" w:type="dxa"/>
              <w:left w:w="100" w:type="dxa"/>
              <w:bottom w:w="60" w:type="dxa"/>
              <w:right w:w="100" w:type="dxa"/>
            </w:tcMar>
            <w:vAlign w:val="center"/>
          </w:tcPr>
          <w:p w14:paraId="3767C073" w14:textId="77777777" w:rsidR="00C51332" w:rsidRPr="00D23AF2" w:rsidRDefault="00000000" w:rsidP="00D23AF2">
            <w:pPr>
              <w:spacing w:line="480" w:lineRule="auto"/>
              <w:jc w:val="center"/>
              <w:rPr>
                <w:rFonts w:cs="Times New Roman"/>
              </w:rPr>
            </w:pPr>
            <w:r>
              <w:rPr>
                <w:rFonts w:cs="Times New Roman"/>
              </w:rPr>
              <w:t>1,116</w:t>
            </w:r>
          </w:p>
        </w:tc>
        <w:tc>
          <w:tcPr>
            <w:tcW w:w="1300" w:type="dxa"/>
            <w:tcMar>
              <w:top w:w="60" w:type="dxa"/>
              <w:left w:w="100" w:type="dxa"/>
              <w:bottom w:w="60" w:type="dxa"/>
              <w:right w:w="100" w:type="dxa"/>
            </w:tcMar>
            <w:vAlign w:val="center"/>
          </w:tcPr>
          <w:p w14:paraId="224ECC8D" w14:textId="77777777" w:rsidR="00C51332" w:rsidRPr="00D23AF2" w:rsidRDefault="00000000" w:rsidP="00D23AF2">
            <w:pPr>
              <w:spacing w:line="480" w:lineRule="auto"/>
              <w:jc w:val="center"/>
              <w:rPr>
                <w:rFonts w:cs="Times New Roman"/>
              </w:rPr>
            </w:pPr>
            <w:r>
              <w:rPr>
                <w:rFonts w:cs="Times New Roman"/>
              </w:rPr>
              <w:t>1.4</w:t>
            </w:r>
          </w:p>
        </w:tc>
        <w:tc>
          <w:tcPr>
            <w:tcW w:w="1300" w:type="dxa"/>
            <w:tcMar>
              <w:top w:w="60" w:type="dxa"/>
              <w:left w:w="100" w:type="dxa"/>
              <w:bottom w:w="60" w:type="dxa"/>
              <w:right w:w="100" w:type="dxa"/>
            </w:tcMar>
            <w:vAlign w:val="center"/>
          </w:tcPr>
          <w:p w14:paraId="440A0FB8" w14:textId="77777777" w:rsidR="00C51332" w:rsidRPr="00D23AF2" w:rsidRDefault="00000000" w:rsidP="00D23AF2">
            <w:pPr>
              <w:spacing w:line="480" w:lineRule="auto"/>
              <w:jc w:val="center"/>
              <w:rPr>
                <w:rFonts w:cs="Times New Roman"/>
              </w:rPr>
            </w:pPr>
            <w:r>
              <w:rPr>
                <w:rFonts w:cs="Times New Roman"/>
              </w:rPr>
              <w:t>64</w:t>
            </w:r>
          </w:p>
        </w:tc>
      </w:tr>
      <w:tr w:rsidR="00A03EA4" w14:paraId="0445CD5A" w14:textId="77777777">
        <w:tc>
          <w:tcPr>
            <w:tcW w:w="1500" w:type="dxa"/>
            <w:tcMar>
              <w:top w:w="60" w:type="dxa"/>
              <w:left w:w="100" w:type="dxa"/>
              <w:bottom w:w="60" w:type="dxa"/>
              <w:right w:w="100" w:type="dxa"/>
            </w:tcMar>
            <w:vAlign w:val="center"/>
          </w:tcPr>
          <w:p w14:paraId="02C2EF28" w14:textId="77777777" w:rsidR="00C51332" w:rsidRPr="00D23AF2" w:rsidRDefault="00000000" w:rsidP="00D23AF2">
            <w:pPr>
              <w:spacing w:line="480" w:lineRule="auto"/>
              <w:rPr>
                <w:rFonts w:cs="Times New Roman"/>
              </w:rPr>
            </w:pPr>
            <w:r>
              <w:rPr>
                <w:rFonts w:cs="Times New Roman"/>
              </w:rPr>
              <w:t>Q5 (Top)</w:t>
            </w:r>
          </w:p>
        </w:tc>
        <w:tc>
          <w:tcPr>
            <w:tcW w:w="1100" w:type="dxa"/>
            <w:tcMar>
              <w:top w:w="60" w:type="dxa"/>
              <w:left w:w="100" w:type="dxa"/>
              <w:bottom w:w="60" w:type="dxa"/>
              <w:right w:w="100" w:type="dxa"/>
            </w:tcMar>
            <w:vAlign w:val="center"/>
          </w:tcPr>
          <w:p w14:paraId="0B5D7B0C" w14:textId="77777777" w:rsidR="00C51332" w:rsidRPr="00D23AF2" w:rsidRDefault="00000000" w:rsidP="00D23AF2">
            <w:pPr>
              <w:spacing w:line="480" w:lineRule="auto"/>
              <w:jc w:val="center"/>
              <w:rPr>
                <w:rFonts w:cs="Times New Roman"/>
              </w:rPr>
            </w:pPr>
            <w:r>
              <w:rPr>
                <w:rFonts w:cs="Times New Roman"/>
              </w:rPr>
              <w:t>265,000</w:t>
            </w:r>
          </w:p>
        </w:tc>
        <w:tc>
          <w:tcPr>
            <w:tcW w:w="1300" w:type="dxa"/>
            <w:tcMar>
              <w:top w:w="60" w:type="dxa"/>
              <w:left w:w="100" w:type="dxa"/>
              <w:bottom w:w="60" w:type="dxa"/>
              <w:right w:w="100" w:type="dxa"/>
            </w:tcMar>
            <w:vAlign w:val="center"/>
          </w:tcPr>
          <w:p w14:paraId="1C46209B" w14:textId="77777777" w:rsidR="00C51332" w:rsidRPr="00D23AF2" w:rsidRDefault="00000000" w:rsidP="00D23AF2">
            <w:pPr>
              <w:spacing w:line="480" w:lineRule="auto"/>
              <w:jc w:val="center"/>
              <w:rPr>
                <w:rFonts w:cs="Times New Roman"/>
              </w:rPr>
            </w:pPr>
            <w:r>
              <w:rPr>
                <w:rFonts w:cs="Times New Roman"/>
              </w:rPr>
              <w:t>4,550</w:t>
            </w:r>
          </w:p>
        </w:tc>
        <w:tc>
          <w:tcPr>
            <w:tcW w:w="1300" w:type="dxa"/>
            <w:tcMar>
              <w:top w:w="60" w:type="dxa"/>
              <w:left w:w="100" w:type="dxa"/>
              <w:bottom w:w="60" w:type="dxa"/>
              <w:right w:w="100" w:type="dxa"/>
            </w:tcMar>
            <w:vAlign w:val="center"/>
          </w:tcPr>
          <w:p w14:paraId="495D88FB" w14:textId="77777777" w:rsidR="00C51332" w:rsidRPr="00D23AF2" w:rsidRDefault="00000000" w:rsidP="00D23AF2">
            <w:pPr>
              <w:spacing w:line="480" w:lineRule="auto"/>
              <w:jc w:val="center"/>
              <w:rPr>
                <w:rFonts w:cs="Times New Roman"/>
              </w:rPr>
            </w:pPr>
            <w:r>
              <w:rPr>
                <w:rFonts w:cs="Times New Roman"/>
              </w:rPr>
              <w:t>1.3</w:t>
            </w:r>
          </w:p>
        </w:tc>
        <w:tc>
          <w:tcPr>
            <w:tcW w:w="1260" w:type="dxa"/>
            <w:tcMar>
              <w:top w:w="60" w:type="dxa"/>
              <w:left w:w="100" w:type="dxa"/>
              <w:bottom w:w="60" w:type="dxa"/>
              <w:right w:w="100" w:type="dxa"/>
            </w:tcMar>
            <w:vAlign w:val="center"/>
          </w:tcPr>
          <w:p w14:paraId="245CD5FF" w14:textId="77777777" w:rsidR="00C51332" w:rsidRPr="00D23AF2" w:rsidRDefault="00000000" w:rsidP="00D23AF2">
            <w:pPr>
              <w:spacing w:line="480" w:lineRule="auto"/>
              <w:jc w:val="center"/>
              <w:rPr>
                <w:rFonts w:cs="Times New Roman"/>
              </w:rPr>
            </w:pPr>
            <w:r>
              <w:rPr>
                <w:rFonts w:cs="Times New Roman"/>
              </w:rPr>
              <w:t>6.1</w:t>
            </w:r>
          </w:p>
        </w:tc>
        <w:tc>
          <w:tcPr>
            <w:tcW w:w="1300" w:type="dxa"/>
            <w:tcMar>
              <w:top w:w="60" w:type="dxa"/>
              <w:left w:w="100" w:type="dxa"/>
              <w:bottom w:w="60" w:type="dxa"/>
              <w:right w:w="100" w:type="dxa"/>
            </w:tcMar>
            <w:vAlign w:val="center"/>
          </w:tcPr>
          <w:p w14:paraId="188A5A7A" w14:textId="77777777" w:rsidR="00C51332" w:rsidRPr="00D23AF2" w:rsidRDefault="00000000" w:rsidP="00D23AF2">
            <w:pPr>
              <w:spacing w:line="480" w:lineRule="auto"/>
              <w:jc w:val="center"/>
              <w:rPr>
                <w:rFonts w:cs="Times New Roman"/>
              </w:rPr>
            </w:pPr>
            <w:r>
              <w:rPr>
                <w:rFonts w:cs="Times New Roman"/>
              </w:rPr>
              <w:t>1,729</w:t>
            </w:r>
          </w:p>
        </w:tc>
        <w:tc>
          <w:tcPr>
            <w:tcW w:w="1300" w:type="dxa"/>
            <w:tcMar>
              <w:top w:w="60" w:type="dxa"/>
              <w:left w:w="100" w:type="dxa"/>
              <w:bottom w:w="60" w:type="dxa"/>
              <w:right w:w="100" w:type="dxa"/>
            </w:tcMar>
            <w:vAlign w:val="center"/>
          </w:tcPr>
          <w:p w14:paraId="0EBDAEB3" w14:textId="77777777" w:rsidR="00C51332" w:rsidRPr="00D23AF2" w:rsidRDefault="00000000" w:rsidP="00D23AF2">
            <w:pPr>
              <w:spacing w:line="480" w:lineRule="auto"/>
              <w:jc w:val="center"/>
              <w:rPr>
                <w:rFonts w:cs="Times New Roman"/>
              </w:rPr>
            </w:pPr>
            <w:r>
              <w:rPr>
                <w:rFonts w:cs="Times New Roman"/>
              </w:rPr>
              <w:t>0.7</w:t>
            </w:r>
          </w:p>
        </w:tc>
        <w:tc>
          <w:tcPr>
            <w:tcW w:w="1300" w:type="dxa"/>
            <w:tcMar>
              <w:top w:w="60" w:type="dxa"/>
              <w:left w:w="100" w:type="dxa"/>
              <w:bottom w:w="60" w:type="dxa"/>
              <w:right w:w="100" w:type="dxa"/>
            </w:tcMar>
            <w:vAlign w:val="center"/>
          </w:tcPr>
          <w:p w14:paraId="1DE3BB3B" w14:textId="77777777" w:rsidR="00C51332" w:rsidRPr="00D23AF2" w:rsidRDefault="00000000" w:rsidP="00D23AF2">
            <w:pPr>
              <w:spacing w:line="480" w:lineRule="auto"/>
              <w:jc w:val="center"/>
              <w:rPr>
                <w:rFonts w:cs="Times New Roman"/>
              </w:rPr>
            </w:pPr>
            <w:r>
              <w:rPr>
                <w:rFonts w:cs="Times New Roman"/>
              </w:rPr>
              <w:t>62</w:t>
            </w:r>
          </w:p>
        </w:tc>
      </w:tr>
      <w:tr w:rsidR="00A03EA4" w14:paraId="2AF524A5" w14:textId="77777777">
        <w:tc>
          <w:tcPr>
            <w:tcW w:w="1500" w:type="dxa"/>
            <w:tcMar>
              <w:top w:w="60" w:type="dxa"/>
              <w:left w:w="100" w:type="dxa"/>
              <w:bottom w:w="60" w:type="dxa"/>
              <w:right w:w="100" w:type="dxa"/>
            </w:tcMar>
            <w:vAlign w:val="center"/>
          </w:tcPr>
          <w:p w14:paraId="4660C305" w14:textId="77777777" w:rsidR="00C51332" w:rsidRPr="00750ABF" w:rsidRDefault="00000000" w:rsidP="00D23AF2">
            <w:pPr>
              <w:spacing w:line="480" w:lineRule="auto"/>
              <w:rPr>
                <w:rFonts w:cs="Times New Roman"/>
              </w:rPr>
            </w:pPr>
            <w:r w:rsidRPr="00750ABF">
              <w:rPr>
                <w:rFonts w:cs="Times New Roman"/>
              </w:rPr>
              <w:t>Mean household</w:t>
            </w:r>
          </w:p>
        </w:tc>
        <w:tc>
          <w:tcPr>
            <w:tcW w:w="1100" w:type="dxa"/>
            <w:tcMar>
              <w:top w:w="60" w:type="dxa"/>
              <w:left w:w="100" w:type="dxa"/>
              <w:bottom w:w="60" w:type="dxa"/>
              <w:right w:w="100" w:type="dxa"/>
            </w:tcMar>
            <w:vAlign w:val="center"/>
          </w:tcPr>
          <w:p w14:paraId="09265EAD" w14:textId="77777777" w:rsidR="00C51332" w:rsidRPr="00D23AF2" w:rsidRDefault="00000000" w:rsidP="00D23AF2">
            <w:pPr>
              <w:spacing w:line="480" w:lineRule="auto"/>
              <w:jc w:val="center"/>
              <w:rPr>
                <w:rFonts w:cs="Times New Roman"/>
              </w:rPr>
            </w:pPr>
            <w:r>
              <w:rPr>
                <w:rFonts w:cs="Times New Roman"/>
              </w:rPr>
              <w:t>104,207</w:t>
            </w:r>
          </w:p>
        </w:tc>
        <w:tc>
          <w:tcPr>
            <w:tcW w:w="1300" w:type="dxa"/>
            <w:tcMar>
              <w:top w:w="60" w:type="dxa"/>
              <w:left w:w="100" w:type="dxa"/>
              <w:bottom w:w="60" w:type="dxa"/>
              <w:right w:w="100" w:type="dxa"/>
            </w:tcMar>
            <w:vAlign w:val="center"/>
          </w:tcPr>
          <w:p w14:paraId="200ACDBE" w14:textId="77777777" w:rsidR="00C51332" w:rsidRPr="00D23AF2" w:rsidRDefault="00000000" w:rsidP="00D23AF2">
            <w:pPr>
              <w:spacing w:line="480" w:lineRule="auto"/>
              <w:jc w:val="center"/>
              <w:rPr>
                <w:rFonts w:cs="Times New Roman"/>
              </w:rPr>
            </w:pPr>
            <w:r>
              <w:rPr>
                <w:rFonts w:cs="Times New Roman"/>
              </w:rPr>
              <w:t>2,400</w:t>
            </w:r>
          </w:p>
        </w:tc>
        <w:tc>
          <w:tcPr>
            <w:tcW w:w="1300" w:type="dxa"/>
            <w:tcMar>
              <w:top w:w="60" w:type="dxa"/>
              <w:left w:w="100" w:type="dxa"/>
              <w:bottom w:w="60" w:type="dxa"/>
              <w:right w:w="100" w:type="dxa"/>
            </w:tcMar>
            <w:vAlign w:val="center"/>
          </w:tcPr>
          <w:p w14:paraId="5983C305" w14:textId="77777777" w:rsidR="00C51332" w:rsidRPr="00D23AF2" w:rsidRDefault="00000000" w:rsidP="00D23AF2">
            <w:pPr>
              <w:spacing w:line="480" w:lineRule="auto"/>
              <w:jc w:val="center"/>
              <w:rPr>
                <w:rFonts w:cs="Times New Roman"/>
              </w:rPr>
            </w:pPr>
            <w:r>
              <w:rPr>
                <w:rFonts w:cs="Times New Roman"/>
              </w:rPr>
              <w:t>2.3</w:t>
            </w:r>
          </w:p>
        </w:tc>
        <w:tc>
          <w:tcPr>
            <w:tcW w:w="1260" w:type="dxa"/>
            <w:tcMar>
              <w:top w:w="60" w:type="dxa"/>
              <w:left w:w="100" w:type="dxa"/>
              <w:bottom w:w="60" w:type="dxa"/>
              <w:right w:w="100" w:type="dxa"/>
            </w:tcMar>
            <w:vAlign w:val="center"/>
          </w:tcPr>
          <w:p w14:paraId="2EDD7E38" w14:textId="77777777" w:rsidR="00C51332" w:rsidRPr="00D23AF2" w:rsidRDefault="00000000" w:rsidP="00D23AF2">
            <w:pPr>
              <w:spacing w:line="480" w:lineRule="auto"/>
              <w:jc w:val="center"/>
              <w:rPr>
                <w:rFonts w:cs="Times New Roman"/>
              </w:rPr>
            </w:pPr>
            <w:r>
              <w:rPr>
                <w:rFonts w:cs="Times New Roman"/>
              </w:rPr>
              <w:t>9.4</w:t>
            </w:r>
          </w:p>
        </w:tc>
        <w:tc>
          <w:tcPr>
            <w:tcW w:w="1300" w:type="dxa"/>
            <w:tcMar>
              <w:top w:w="60" w:type="dxa"/>
              <w:left w:w="100" w:type="dxa"/>
              <w:bottom w:w="60" w:type="dxa"/>
              <w:right w:w="100" w:type="dxa"/>
            </w:tcMar>
            <w:vAlign w:val="center"/>
          </w:tcPr>
          <w:p w14:paraId="023FF74D" w14:textId="77777777" w:rsidR="00C51332" w:rsidRPr="00D23AF2" w:rsidRDefault="00000000" w:rsidP="00D23AF2">
            <w:pPr>
              <w:spacing w:line="480" w:lineRule="auto"/>
              <w:jc w:val="center"/>
              <w:rPr>
                <w:rFonts w:cs="Times New Roman"/>
              </w:rPr>
            </w:pPr>
            <w:r>
              <w:rPr>
                <w:rFonts w:cs="Times New Roman"/>
              </w:rPr>
              <w:t>800</w:t>
            </w:r>
          </w:p>
        </w:tc>
        <w:tc>
          <w:tcPr>
            <w:tcW w:w="1300" w:type="dxa"/>
            <w:tcMar>
              <w:top w:w="60" w:type="dxa"/>
              <w:left w:w="100" w:type="dxa"/>
              <w:bottom w:w="60" w:type="dxa"/>
              <w:right w:w="100" w:type="dxa"/>
            </w:tcMar>
            <w:vAlign w:val="center"/>
          </w:tcPr>
          <w:p w14:paraId="6AFEE6FD" w14:textId="77777777" w:rsidR="00C51332" w:rsidRPr="00D23AF2" w:rsidRDefault="00000000" w:rsidP="00D23AF2">
            <w:pPr>
              <w:spacing w:line="480" w:lineRule="auto"/>
              <w:jc w:val="center"/>
              <w:rPr>
                <w:rFonts w:cs="Times New Roman"/>
              </w:rPr>
            </w:pPr>
            <w:r>
              <w:rPr>
                <w:rFonts w:cs="Times New Roman"/>
              </w:rPr>
              <w:t>0.8</w:t>
            </w:r>
          </w:p>
        </w:tc>
        <w:tc>
          <w:tcPr>
            <w:tcW w:w="1300" w:type="dxa"/>
            <w:tcMar>
              <w:top w:w="60" w:type="dxa"/>
              <w:left w:w="100" w:type="dxa"/>
              <w:bottom w:w="60" w:type="dxa"/>
              <w:right w:w="100" w:type="dxa"/>
            </w:tcMar>
            <w:vAlign w:val="center"/>
          </w:tcPr>
          <w:p w14:paraId="4FF06395" w14:textId="77777777" w:rsidR="00C51332" w:rsidRPr="00D23AF2" w:rsidRDefault="00000000" w:rsidP="00D23AF2">
            <w:pPr>
              <w:spacing w:line="480" w:lineRule="auto"/>
              <w:jc w:val="center"/>
              <w:rPr>
                <w:rFonts w:cs="Times New Roman"/>
              </w:rPr>
            </w:pPr>
            <w:r>
              <w:rPr>
                <w:rFonts w:cs="Times New Roman"/>
              </w:rPr>
              <w:t>67</w:t>
            </w:r>
          </w:p>
        </w:tc>
      </w:tr>
    </w:tbl>
    <w:p w14:paraId="4D0866E6" w14:textId="49144821" w:rsidR="00C51332" w:rsidRPr="00D23AF2" w:rsidRDefault="00000000" w:rsidP="00D23AF2">
      <w:pPr>
        <w:spacing w:before="60" w:after="60" w:line="480" w:lineRule="auto"/>
        <w:rPr>
          <w:rFonts w:cs="Times New Roman"/>
        </w:rPr>
      </w:pPr>
      <w:r w:rsidRPr="0026085F">
        <w:rPr>
          <w:rFonts w:cs="Times New Roman"/>
        </w:rPr>
        <w:t xml:space="preserve">Source: Yale Budget Lab (2025a); Bureau of Labor Statistics CEX (2024); Author calculations. Income burden = annual dollar loss / mean quintile pretax income. Loss reduction = percent decline from IEEPA to </w:t>
      </w:r>
      <w:r w:rsidR="0026085F" w:rsidRPr="0026085F">
        <w:rPr>
          <w:rFonts w:cs="Times New Roman"/>
        </w:rPr>
        <w:t>post SCOTUS</w:t>
      </w:r>
      <w:r w:rsidRPr="0026085F">
        <w:rPr>
          <w:rFonts w:cs="Times New Roman"/>
        </w:rPr>
        <w:t xml:space="preserve"> regime</w:t>
      </w:r>
      <w:r>
        <w:rPr>
          <w:rFonts w:cs="Times New Roman"/>
          <w:i/>
          <w:iCs/>
        </w:rPr>
        <w:t>.</w:t>
      </w:r>
    </w:p>
    <w:p w14:paraId="5660610B" w14:textId="77777777" w:rsidR="00C51332" w:rsidRPr="00D23AF2" w:rsidRDefault="00C51332" w:rsidP="00D23AF2">
      <w:pPr>
        <w:spacing w:before="80" w:line="480" w:lineRule="auto"/>
        <w:rPr>
          <w:rFonts w:cs="Times New Roman"/>
        </w:rPr>
      </w:pPr>
    </w:p>
    <w:p w14:paraId="4A77B485" w14:textId="77777777" w:rsidR="00C51332" w:rsidRPr="00750ABF" w:rsidRDefault="00000000" w:rsidP="00D23AF2">
      <w:pPr>
        <w:spacing w:before="100" w:after="80" w:line="480" w:lineRule="auto"/>
        <w:rPr>
          <w:rFonts w:cs="Times New Roman"/>
          <w:i/>
          <w:iCs/>
        </w:rPr>
      </w:pPr>
      <w:r w:rsidRPr="00750ABF">
        <w:rPr>
          <w:rFonts w:cs="Times New Roman"/>
          <w:i/>
          <w:iCs/>
        </w:rPr>
        <w:t>5.2  DiD Estimates of the SCOTUS Shock: Testing H2</w:t>
      </w:r>
    </w:p>
    <w:p w14:paraId="6D551DC4" w14:textId="7544EBC7" w:rsidR="00C51332" w:rsidRPr="00D23AF2" w:rsidRDefault="00000000" w:rsidP="00D23AF2">
      <w:pPr>
        <w:spacing w:before="100" w:after="80" w:line="480" w:lineRule="auto"/>
        <w:rPr>
          <w:rFonts w:cs="Times New Roman"/>
        </w:rPr>
      </w:pPr>
      <w:r>
        <w:rPr>
          <w:rFonts w:cs="Times New Roman"/>
        </w:rPr>
        <w:t xml:space="preserve">Table 4 reports </w:t>
      </w:r>
      <w:r w:rsidR="0026085F">
        <w:rPr>
          <w:rFonts w:cs="Times New Roman"/>
        </w:rPr>
        <w:t>difference in differences</w:t>
      </w:r>
      <w:r>
        <w:rPr>
          <w:rFonts w:cs="Times New Roman"/>
        </w:rPr>
        <w:t xml:space="preserve"> estimates of the price effect of tariff removal across exposed and unexposed categories, interacted with quintile expenditure weights. The DiD coefficient </w:t>
      </w:r>
      <w:r w:rsidRPr="00750ABF">
        <w:rPr>
          <w:rFonts w:ascii="Cambria Math" w:hAnsi="Cambria Math" w:cs="Times New Roman"/>
        </w:rPr>
        <w:lastRenderedPageBreak/>
        <w:t>β₃</w:t>
      </w:r>
      <w:r>
        <w:rPr>
          <w:rFonts w:cs="Times New Roman"/>
        </w:rPr>
        <w:t xml:space="preserve"> on (Exposed × Post) captures the causal reduction in price growth attributable to the tariff shock being removed.</w:t>
      </w:r>
    </w:p>
    <w:p w14:paraId="7563E508" w14:textId="77777777" w:rsidR="00C51332" w:rsidRPr="00D23AF2" w:rsidRDefault="00C51332" w:rsidP="00D23AF2">
      <w:pPr>
        <w:spacing w:before="80" w:line="480" w:lineRule="auto"/>
        <w:rPr>
          <w:rFonts w:cs="Times New Roman"/>
        </w:rPr>
      </w:pPr>
    </w:p>
    <w:p w14:paraId="14565547" w14:textId="6AD4F3DD" w:rsidR="00C51332" w:rsidRPr="00D23AF2" w:rsidRDefault="00000000" w:rsidP="00D23AF2">
      <w:pPr>
        <w:spacing w:after="80" w:line="480" w:lineRule="auto"/>
        <w:rPr>
          <w:rFonts w:cs="Times New Roman"/>
        </w:rPr>
      </w:pPr>
      <w:r>
        <w:rPr>
          <w:rFonts w:cs="Times New Roman"/>
          <w:b/>
          <w:bCs/>
        </w:rPr>
        <w:t xml:space="preserve">Table 4.  </w:t>
      </w:r>
      <w:r w:rsidR="0026085F">
        <w:rPr>
          <w:rFonts w:cs="Times New Roman"/>
          <w:b/>
          <w:bCs/>
        </w:rPr>
        <w:t>Difference in differences</w:t>
      </w:r>
      <w:r>
        <w:rPr>
          <w:rFonts w:cs="Times New Roman"/>
          <w:b/>
          <w:bCs/>
        </w:rPr>
        <w:t xml:space="preserve"> Estimates: Price Effects of SCOTUS Tariff Reduction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3"/>
        <w:gridCol w:w="1527"/>
        <w:gridCol w:w="1532"/>
        <w:gridCol w:w="1600"/>
        <w:gridCol w:w="1538"/>
      </w:tblGrid>
      <w:tr w:rsidR="00A03EA4" w14:paraId="1960A6FE" w14:textId="77777777" w:rsidTr="00750ABF">
        <w:trPr>
          <w:tblHeader/>
        </w:trPr>
        <w:tc>
          <w:tcPr>
            <w:tcW w:w="3200" w:type="dxa"/>
            <w:shd w:val="clear" w:color="auto" w:fill="auto"/>
            <w:tcMar>
              <w:top w:w="60" w:type="dxa"/>
              <w:left w:w="100" w:type="dxa"/>
              <w:bottom w:w="60" w:type="dxa"/>
              <w:right w:w="100" w:type="dxa"/>
            </w:tcMar>
            <w:vAlign w:val="center"/>
          </w:tcPr>
          <w:p w14:paraId="4F123186" w14:textId="77777777" w:rsidR="00C51332" w:rsidRPr="00750ABF" w:rsidRDefault="00000000" w:rsidP="00D23AF2">
            <w:pPr>
              <w:spacing w:line="480" w:lineRule="auto"/>
              <w:rPr>
                <w:rFonts w:cs="Times New Roman"/>
                <w:b/>
                <w:bCs/>
              </w:rPr>
            </w:pPr>
            <w:r w:rsidRPr="00750ABF">
              <w:rPr>
                <w:rFonts w:cs="Times New Roman"/>
                <w:b/>
                <w:bCs/>
              </w:rPr>
              <w:t>Variable</w:t>
            </w:r>
          </w:p>
        </w:tc>
        <w:tc>
          <w:tcPr>
            <w:tcW w:w="1540" w:type="dxa"/>
            <w:shd w:val="clear" w:color="auto" w:fill="auto"/>
            <w:tcMar>
              <w:top w:w="60" w:type="dxa"/>
              <w:left w:w="100" w:type="dxa"/>
              <w:bottom w:w="60" w:type="dxa"/>
              <w:right w:w="100" w:type="dxa"/>
            </w:tcMar>
            <w:vAlign w:val="center"/>
          </w:tcPr>
          <w:p w14:paraId="0802CC62" w14:textId="77777777" w:rsidR="00C51332" w:rsidRPr="00750ABF" w:rsidRDefault="00000000" w:rsidP="00D23AF2">
            <w:pPr>
              <w:spacing w:line="480" w:lineRule="auto"/>
              <w:jc w:val="center"/>
              <w:rPr>
                <w:rFonts w:cs="Times New Roman"/>
                <w:b/>
                <w:bCs/>
              </w:rPr>
            </w:pPr>
            <w:r w:rsidRPr="00750ABF">
              <w:rPr>
                <w:rFonts w:cs="Times New Roman"/>
                <w:b/>
                <w:bCs/>
              </w:rPr>
              <w:t>(1) All goods</w:t>
            </w:r>
          </w:p>
        </w:tc>
        <w:tc>
          <w:tcPr>
            <w:tcW w:w="1540" w:type="dxa"/>
            <w:shd w:val="clear" w:color="auto" w:fill="auto"/>
            <w:tcMar>
              <w:top w:w="60" w:type="dxa"/>
              <w:left w:w="100" w:type="dxa"/>
              <w:bottom w:w="60" w:type="dxa"/>
              <w:right w:w="100" w:type="dxa"/>
            </w:tcMar>
            <w:vAlign w:val="center"/>
          </w:tcPr>
          <w:p w14:paraId="6E6771E3" w14:textId="77777777" w:rsidR="00C51332" w:rsidRPr="00750ABF" w:rsidRDefault="00000000" w:rsidP="00D23AF2">
            <w:pPr>
              <w:spacing w:line="480" w:lineRule="auto"/>
              <w:jc w:val="center"/>
              <w:rPr>
                <w:rFonts w:cs="Times New Roman"/>
                <w:b/>
                <w:bCs/>
              </w:rPr>
            </w:pPr>
            <w:r w:rsidRPr="00750ABF">
              <w:rPr>
                <w:rFonts w:cs="Times New Roman"/>
                <w:b/>
                <w:bCs/>
              </w:rPr>
              <w:t>(2) Necessity goods</w:t>
            </w:r>
          </w:p>
        </w:tc>
        <w:tc>
          <w:tcPr>
            <w:tcW w:w="1540" w:type="dxa"/>
            <w:shd w:val="clear" w:color="auto" w:fill="auto"/>
            <w:tcMar>
              <w:top w:w="60" w:type="dxa"/>
              <w:left w:w="100" w:type="dxa"/>
              <w:bottom w:w="60" w:type="dxa"/>
              <w:right w:w="100" w:type="dxa"/>
            </w:tcMar>
            <w:vAlign w:val="center"/>
          </w:tcPr>
          <w:p w14:paraId="11890AB4" w14:textId="77777777" w:rsidR="00C51332" w:rsidRPr="00750ABF" w:rsidRDefault="00000000" w:rsidP="00D23AF2">
            <w:pPr>
              <w:spacing w:line="480" w:lineRule="auto"/>
              <w:jc w:val="center"/>
              <w:rPr>
                <w:rFonts w:cs="Times New Roman"/>
                <w:b/>
                <w:bCs/>
              </w:rPr>
            </w:pPr>
            <w:r w:rsidRPr="00750ABF">
              <w:rPr>
                <w:rFonts w:cs="Times New Roman"/>
                <w:b/>
                <w:bCs/>
              </w:rPr>
              <w:t>(3) Discretionary goods</w:t>
            </w:r>
          </w:p>
        </w:tc>
        <w:tc>
          <w:tcPr>
            <w:tcW w:w="1540" w:type="dxa"/>
            <w:shd w:val="clear" w:color="auto" w:fill="auto"/>
            <w:tcMar>
              <w:top w:w="60" w:type="dxa"/>
              <w:left w:w="100" w:type="dxa"/>
              <w:bottom w:w="60" w:type="dxa"/>
              <w:right w:w="100" w:type="dxa"/>
            </w:tcMar>
            <w:vAlign w:val="center"/>
          </w:tcPr>
          <w:p w14:paraId="516C4AD2" w14:textId="06557686" w:rsidR="00C51332" w:rsidRPr="00750ABF" w:rsidRDefault="00000000" w:rsidP="00D23AF2">
            <w:pPr>
              <w:spacing w:line="480" w:lineRule="auto"/>
              <w:jc w:val="center"/>
              <w:rPr>
                <w:rFonts w:cs="Times New Roman"/>
                <w:b/>
                <w:bCs/>
              </w:rPr>
            </w:pPr>
            <w:r w:rsidRPr="00750ABF">
              <w:rPr>
                <w:rFonts w:cs="Times New Roman"/>
                <w:b/>
                <w:bCs/>
              </w:rPr>
              <w:t>(4) Q1weighted</w:t>
            </w:r>
          </w:p>
        </w:tc>
      </w:tr>
      <w:tr w:rsidR="00A03EA4" w14:paraId="285B74A5" w14:textId="77777777">
        <w:tc>
          <w:tcPr>
            <w:tcW w:w="3200" w:type="dxa"/>
            <w:tcMar>
              <w:top w:w="60" w:type="dxa"/>
              <w:left w:w="100" w:type="dxa"/>
              <w:bottom w:w="60" w:type="dxa"/>
              <w:right w:w="100" w:type="dxa"/>
            </w:tcMar>
            <w:vAlign w:val="center"/>
          </w:tcPr>
          <w:p w14:paraId="24E00916" w14:textId="77777777" w:rsidR="00C51332" w:rsidRPr="00D23AF2" w:rsidRDefault="00000000" w:rsidP="00D23AF2">
            <w:pPr>
              <w:spacing w:line="480" w:lineRule="auto"/>
              <w:rPr>
                <w:rFonts w:cs="Times New Roman"/>
              </w:rPr>
            </w:pPr>
            <w:r>
              <w:rPr>
                <w:rFonts w:cs="Times New Roman"/>
              </w:rPr>
              <w:t>Exposedᵢ (tariff rate &gt; 15%)</w:t>
            </w:r>
          </w:p>
        </w:tc>
        <w:tc>
          <w:tcPr>
            <w:tcW w:w="1540" w:type="dxa"/>
            <w:tcMar>
              <w:top w:w="60" w:type="dxa"/>
              <w:left w:w="100" w:type="dxa"/>
              <w:bottom w:w="60" w:type="dxa"/>
              <w:right w:w="100" w:type="dxa"/>
            </w:tcMar>
            <w:vAlign w:val="center"/>
          </w:tcPr>
          <w:p w14:paraId="41C94AFD" w14:textId="3EC2B7A7" w:rsidR="00C51332" w:rsidRPr="00D23AF2" w:rsidRDefault="00000000" w:rsidP="00D23AF2">
            <w:pPr>
              <w:spacing w:line="480" w:lineRule="auto"/>
              <w:jc w:val="center"/>
              <w:rPr>
                <w:rFonts w:cs="Times New Roman"/>
              </w:rPr>
            </w:pPr>
            <w:r>
              <w:rPr>
                <w:rFonts w:cs="Times New Roman"/>
              </w:rPr>
              <w:t>0.031</w:t>
            </w:r>
          </w:p>
        </w:tc>
        <w:tc>
          <w:tcPr>
            <w:tcW w:w="1540" w:type="dxa"/>
            <w:tcMar>
              <w:top w:w="60" w:type="dxa"/>
              <w:left w:w="100" w:type="dxa"/>
              <w:bottom w:w="60" w:type="dxa"/>
              <w:right w:w="100" w:type="dxa"/>
            </w:tcMar>
            <w:vAlign w:val="center"/>
          </w:tcPr>
          <w:p w14:paraId="624E9603" w14:textId="509466CE" w:rsidR="00C51332" w:rsidRPr="00D23AF2" w:rsidRDefault="00000000" w:rsidP="00D23AF2">
            <w:pPr>
              <w:spacing w:line="480" w:lineRule="auto"/>
              <w:jc w:val="center"/>
              <w:rPr>
                <w:rFonts w:cs="Times New Roman"/>
              </w:rPr>
            </w:pPr>
            <w:r>
              <w:rPr>
                <w:rFonts w:cs="Times New Roman"/>
              </w:rPr>
              <w:t>0.048</w:t>
            </w:r>
          </w:p>
        </w:tc>
        <w:tc>
          <w:tcPr>
            <w:tcW w:w="1540" w:type="dxa"/>
            <w:tcMar>
              <w:top w:w="60" w:type="dxa"/>
              <w:left w:w="100" w:type="dxa"/>
              <w:bottom w:w="60" w:type="dxa"/>
              <w:right w:w="100" w:type="dxa"/>
            </w:tcMar>
            <w:vAlign w:val="center"/>
          </w:tcPr>
          <w:p w14:paraId="7BDDE394" w14:textId="77777777" w:rsidR="00C51332" w:rsidRPr="00D23AF2" w:rsidRDefault="00000000" w:rsidP="00D23AF2">
            <w:pPr>
              <w:spacing w:line="480" w:lineRule="auto"/>
              <w:jc w:val="center"/>
              <w:rPr>
                <w:rFonts w:cs="Times New Roman"/>
              </w:rPr>
            </w:pPr>
            <w:r>
              <w:rPr>
                <w:rFonts w:cs="Times New Roman"/>
              </w:rPr>
              <w:t>0.009</w:t>
            </w:r>
          </w:p>
        </w:tc>
        <w:tc>
          <w:tcPr>
            <w:tcW w:w="1540" w:type="dxa"/>
            <w:tcMar>
              <w:top w:w="60" w:type="dxa"/>
              <w:left w:w="100" w:type="dxa"/>
              <w:bottom w:w="60" w:type="dxa"/>
              <w:right w:w="100" w:type="dxa"/>
            </w:tcMar>
            <w:vAlign w:val="center"/>
          </w:tcPr>
          <w:p w14:paraId="0A709397" w14:textId="6838CD7E" w:rsidR="00C51332" w:rsidRPr="00D23AF2" w:rsidRDefault="00000000" w:rsidP="00D23AF2">
            <w:pPr>
              <w:spacing w:line="480" w:lineRule="auto"/>
              <w:jc w:val="center"/>
              <w:rPr>
                <w:rFonts w:cs="Times New Roman"/>
              </w:rPr>
            </w:pPr>
            <w:r>
              <w:rPr>
                <w:rFonts w:cs="Times New Roman"/>
              </w:rPr>
              <w:t>0.052</w:t>
            </w:r>
          </w:p>
        </w:tc>
      </w:tr>
      <w:tr w:rsidR="00A03EA4" w14:paraId="4B68CD16" w14:textId="77777777">
        <w:tc>
          <w:tcPr>
            <w:tcW w:w="3200" w:type="dxa"/>
            <w:tcMar>
              <w:top w:w="60" w:type="dxa"/>
              <w:left w:w="100" w:type="dxa"/>
              <w:bottom w:w="60" w:type="dxa"/>
              <w:right w:w="100" w:type="dxa"/>
            </w:tcMar>
            <w:vAlign w:val="center"/>
          </w:tcPr>
          <w:p w14:paraId="2F4C14D5" w14:textId="77777777" w:rsidR="00C51332" w:rsidRPr="00D23AF2" w:rsidRDefault="00C51332" w:rsidP="00D23AF2">
            <w:pPr>
              <w:spacing w:line="480" w:lineRule="auto"/>
              <w:rPr>
                <w:rFonts w:cs="Times New Roman"/>
              </w:rPr>
            </w:pPr>
          </w:p>
        </w:tc>
        <w:tc>
          <w:tcPr>
            <w:tcW w:w="1540" w:type="dxa"/>
            <w:tcMar>
              <w:top w:w="60" w:type="dxa"/>
              <w:left w:w="100" w:type="dxa"/>
              <w:bottom w:w="60" w:type="dxa"/>
              <w:right w:w="100" w:type="dxa"/>
            </w:tcMar>
            <w:vAlign w:val="center"/>
          </w:tcPr>
          <w:p w14:paraId="14C7EF4C" w14:textId="77777777" w:rsidR="00C51332" w:rsidRPr="00D23AF2" w:rsidRDefault="00000000" w:rsidP="00D23AF2">
            <w:pPr>
              <w:spacing w:line="480" w:lineRule="auto"/>
              <w:jc w:val="center"/>
              <w:rPr>
                <w:rFonts w:cs="Times New Roman"/>
              </w:rPr>
            </w:pPr>
            <w:r>
              <w:rPr>
                <w:rFonts w:cs="Times New Roman"/>
              </w:rPr>
              <w:t>(0.008)</w:t>
            </w:r>
          </w:p>
        </w:tc>
        <w:tc>
          <w:tcPr>
            <w:tcW w:w="1540" w:type="dxa"/>
            <w:tcMar>
              <w:top w:w="60" w:type="dxa"/>
              <w:left w:w="100" w:type="dxa"/>
              <w:bottom w:w="60" w:type="dxa"/>
              <w:right w:w="100" w:type="dxa"/>
            </w:tcMar>
            <w:vAlign w:val="center"/>
          </w:tcPr>
          <w:p w14:paraId="5533E7C3" w14:textId="77777777" w:rsidR="00C51332" w:rsidRPr="00D23AF2" w:rsidRDefault="00000000" w:rsidP="00D23AF2">
            <w:pPr>
              <w:spacing w:line="480" w:lineRule="auto"/>
              <w:jc w:val="center"/>
              <w:rPr>
                <w:rFonts w:cs="Times New Roman"/>
              </w:rPr>
            </w:pPr>
            <w:r>
              <w:rPr>
                <w:rFonts w:cs="Times New Roman"/>
              </w:rPr>
              <w:t>(0.011)</w:t>
            </w:r>
          </w:p>
        </w:tc>
        <w:tc>
          <w:tcPr>
            <w:tcW w:w="1540" w:type="dxa"/>
            <w:tcMar>
              <w:top w:w="60" w:type="dxa"/>
              <w:left w:w="100" w:type="dxa"/>
              <w:bottom w:w="60" w:type="dxa"/>
              <w:right w:w="100" w:type="dxa"/>
            </w:tcMar>
            <w:vAlign w:val="center"/>
          </w:tcPr>
          <w:p w14:paraId="434F03AC" w14:textId="77777777" w:rsidR="00C51332" w:rsidRPr="00D23AF2" w:rsidRDefault="00000000" w:rsidP="00D23AF2">
            <w:pPr>
              <w:spacing w:line="480" w:lineRule="auto"/>
              <w:jc w:val="center"/>
              <w:rPr>
                <w:rFonts w:cs="Times New Roman"/>
              </w:rPr>
            </w:pPr>
            <w:r>
              <w:rPr>
                <w:rFonts w:cs="Times New Roman"/>
              </w:rPr>
              <w:t>(0.007)</w:t>
            </w:r>
          </w:p>
        </w:tc>
        <w:tc>
          <w:tcPr>
            <w:tcW w:w="1540" w:type="dxa"/>
            <w:tcMar>
              <w:top w:w="60" w:type="dxa"/>
              <w:left w:w="100" w:type="dxa"/>
              <w:bottom w:w="60" w:type="dxa"/>
              <w:right w:w="100" w:type="dxa"/>
            </w:tcMar>
            <w:vAlign w:val="center"/>
          </w:tcPr>
          <w:p w14:paraId="494CC389" w14:textId="77777777" w:rsidR="00C51332" w:rsidRPr="00D23AF2" w:rsidRDefault="00000000" w:rsidP="00D23AF2">
            <w:pPr>
              <w:spacing w:line="480" w:lineRule="auto"/>
              <w:jc w:val="center"/>
              <w:rPr>
                <w:rFonts w:cs="Times New Roman"/>
              </w:rPr>
            </w:pPr>
            <w:r>
              <w:rPr>
                <w:rFonts w:cs="Times New Roman"/>
              </w:rPr>
              <w:t>(0.013)</w:t>
            </w:r>
          </w:p>
        </w:tc>
      </w:tr>
      <w:tr w:rsidR="00A03EA4" w14:paraId="5FA84657" w14:textId="77777777">
        <w:tc>
          <w:tcPr>
            <w:tcW w:w="3200" w:type="dxa"/>
            <w:tcMar>
              <w:top w:w="60" w:type="dxa"/>
              <w:left w:w="100" w:type="dxa"/>
              <w:bottom w:w="60" w:type="dxa"/>
              <w:right w:w="100" w:type="dxa"/>
            </w:tcMar>
            <w:vAlign w:val="center"/>
          </w:tcPr>
          <w:p w14:paraId="232B3039" w14:textId="77777777" w:rsidR="00C51332" w:rsidRPr="00D23AF2" w:rsidRDefault="00000000" w:rsidP="00D23AF2">
            <w:pPr>
              <w:spacing w:line="480" w:lineRule="auto"/>
              <w:rPr>
                <w:rFonts w:cs="Times New Roman"/>
              </w:rPr>
            </w:pPr>
            <w:r>
              <w:rPr>
                <w:rFonts w:cs="Times New Roman"/>
              </w:rPr>
              <w:t>Postₜ (June–Dec 2025)</w:t>
            </w:r>
          </w:p>
        </w:tc>
        <w:tc>
          <w:tcPr>
            <w:tcW w:w="1540" w:type="dxa"/>
            <w:tcMar>
              <w:top w:w="60" w:type="dxa"/>
              <w:left w:w="100" w:type="dxa"/>
              <w:bottom w:w="60" w:type="dxa"/>
              <w:right w:w="100" w:type="dxa"/>
            </w:tcMar>
            <w:vAlign w:val="center"/>
          </w:tcPr>
          <w:p w14:paraId="4AE5B946" w14:textId="4254B163" w:rsidR="00C51332" w:rsidRPr="00D23AF2" w:rsidRDefault="00000000" w:rsidP="00D23AF2">
            <w:pPr>
              <w:spacing w:line="480" w:lineRule="auto"/>
              <w:jc w:val="center"/>
              <w:rPr>
                <w:rFonts w:cs="Times New Roman"/>
              </w:rPr>
            </w:pPr>
            <w:r>
              <w:rPr>
                <w:rFonts w:cs="Times New Roman"/>
              </w:rPr>
              <w:t>0.012</w:t>
            </w:r>
          </w:p>
        </w:tc>
        <w:tc>
          <w:tcPr>
            <w:tcW w:w="1540" w:type="dxa"/>
            <w:tcMar>
              <w:top w:w="60" w:type="dxa"/>
              <w:left w:w="100" w:type="dxa"/>
              <w:bottom w:w="60" w:type="dxa"/>
              <w:right w:w="100" w:type="dxa"/>
            </w:tcMar>
            <w:vAlign w:val="center"/>
          </w:tcPr>
          <w:p w14:paraId="6A017F9B" w14:textId="4625F9A8" w:rsidR="00C51332" w:rsidRPr="00D23AF2" w:rsidRDefault="00000000" w:rsidP="00D23AF2">
            <w:pPr>
              <w:spacing w:line="480" w:lineRule="auto"/>
              <w:jc w:val="center"/>
              <w:rPr>
                <w:rFonts w:cs="Times New Roman"/>
              </w:rPr>
            </w:pPr>
            <w:r>
              <w:rPr>
                <w:rFonts w:cs="Times New Roman"/>
              </w:rPr>
              <w:t>0.014</w:t>
            </w:r>
          </w:p>
        </w:tc>
        <w:tc>
          <w:tcPr>
            <w:tcW w:w="1540" w:type="dxa"/>
            <w:tcMar>
              <w:top w:w="60" w:type="dxa"/>
              <w:left w:w="100" w:type="dxa"/>
              <w:bottom w:w="60" w:type="dxa"/>
              <w:right w:w="100" w:type="dxa"/>
            </w:tcMar>
            <w:vAlign w:val="center"/>
          </w:tcPr>
          <w:p w14:paraId="56893A98" w14:textId="39E781F1" w:rsidR="00C51332" w:rsidRPr="00D23AF2" w:rsidRDefault="00000000" w:rsidP="00D23AF2">
            <w:pPr>
              <w:spacing w:line="480" w:lineRule="auto"/>
              <w:jc w:val="center"/>
              <w:rPr>
                <w:rFonts w:cs="Times New Roman"/>
              </w:rPr>
            </w:pPr>
            <w:r>
              <w:rPr>
                <w:rFonts w:cs="Times New Roman"/>
              </w:rPr>
              <w:t>0.011</w:t>
            </w:r>
          </w:p>
        </w:tc>
        <w:tc>
          <w:tcPr>
            <w:tcW w:w="1540" w:type="dxa"/>
            <w:tcMar>
              <w:top w:w="60" w:type="dxa"/>
              <w:left w:w="100" w:type="dxa"/>
              <w:bottom w:w="60" w:type="dxa"/>
              <w:right w:w="100" w:type="dxa"/>
            </w:tcMar>
            <w:vAlign w:val="center"/>
          </w:tcPr>
          <w:p w14:paraId="6999B886" w14:textId="0170C136" w:rsidR="00C51332" w:rsidRPr="00D23AF2" w:rsidRDefault="00000000" w:rsidP="00D23AF2">
            <w:pPr>
              <w:spacing w:line="480" w:lineRule="auto"/>
              <w:jc w:val="center"/>
              <w:rPr>
                <w:rFonts w:cs="Times New Roman"/>
              </w:rPr>
            </w:pPr>
            <w:r>
              <w:rPr>
                <w:rFonts w:cs="Times New Roman"/>
              </w:rPr>
              <w:t>0.014</w:t>
            </w:r>
          </w:p>
        </w:tc>
      </w:tr>
      <w:tr w:rsidR="00A03EA4" w14:paraId="5CD34AC6" w14:textId="77777777">
        <w:tc>
          <w:tcPr>
            <w:tcW w:w="3200" w:type="dxa"/>
            <w:tcMar>
              <w:top w:w="60" w:type="dxa"/>
              <w:left w:w="100" w:type="dxa"/>
              <w:bottom w:w="60" w:type="dxa"/>
              <w:right w:w="100" w:type="dxa"/>
            </w:tcMar>
            <w:vAlign w:val="center"/>
          </w:tcPr>
          <w:p w14:paraId="0DF968AC" w14:textId="77777777" w:rsidR="00C51332" w:rsidRPr="00D23AF2" w:rsidRDefault="00C51332" w:rsidP="00D23AF2">
            <w:pPr>
              <w:spacing w:line="480" w:lineRule="auto"/>
              <w:rPr>
                <w:rFonts w:cs="Times New Roman"/>
              </w:rPr>
            </w:pPr>
          </w:p>
        </w:tc>
        <w:tc>
          <w:tcPr>
            <w:tcW w:w="1540" w:type="dxa"/>
            <w:tcMar>
              <w:top w:w="60" w:type="dxa"/>
              <w:left w:w="100" w:type="dxa"/>
              <w:bottom w:w="60" w:type="dxa"/>
              <w:right w:w="100" w:type="dxa"/>
            </w:tcMar>
            <w:vAlign w:val="center"/>
          </w:tcPr>
          <w:p w14:paraId="343151B2" w14:textId="77777777" w:rsidR="00C51332" w:rsidRPr="00D23AF2" w:rsidRDefault="00000000" w:rsidP="00D23AF2">
            <w:pPr>
              <w:spacing w:line="480" w:lineRule="auto"/>
              <w:jc w:val="center"/>
              <w:rPr>
                <w:rFonts w:cs="Times New Roman"/>
              </w:rPr>
            </w:pPr>
            <w:r>
              <w:rPr>
                <w:rFonts w:cs="Times New Roman"/>
              </w:rPr>
              <w:t>(0.005)</w:t>
            </w:r>
          </w:p>
        </w:tc>
        <w:tc>
          <w:tcPr>
            <w:tcW w:w="1540" w:type="dxa"/>
            <w:tcMar>
              <w:top w:w="60" w:type="dxa"/>
              <w:left w:w="100" w:type="dxa"/>
              <w:bottom w:w="60" w:type="dxa"/>
              <w:right w:w="100" w:type="dxa"/>
            </w:tcMar>
            <w:vAlign w:val="center"/>
          </w:tcPr>
          <w:p w14:paraId="6317F0E1" w14:textId="77777777" w:rsidR="00C51332" w:rsidRPr="00D23AF2" w:rsidRDefault="00000000" w:rsidP="00D23AF2">
            <w:pPr>
              <w:spacing w:line="480" w:lineRule="auto"/>
              <w:jc w:val="center"/>
              <w:rPr>
                <w:rFonts w:cs="Times New Roman"/>
              </w:rPr>
            </w:pPr>
            <w:r>
              <w:rPr>
                <w:rFonts w:cs="Times New Roman"/>
              </w:rPr>
              <w:t>(0.006)</w:t>
            </w:r>
          </w:p>
        </w:tc>
        <w:tc>
          <w:tcPr>
            <w:tcW w:w="1540" w:type="dxa"/>
            <w:tcMar>
              <w:top w:w="60" w:type="dxa"/>
              <w:left w:w="100" w:type="dxa"/>
              <w:bottom w:w="60" w:type="dxa"/>
              <w:right w:w="100" w:type="dxa"/>
            </w:tcMar>
            <w:vAlign w:val="center"/>
          </w:tcPr>
          <w:p w14:paraId="2880D210" w14:textId="77777777" w:rsidR="00C51332" w:rsidRPr="00D23AF2" w:rsidRDefault="00000000" w:rsidP="00D23AF2">
            <w:pPr>
              <w:spacing w:line="480" w:lineRule="auto"/>
              <w:jc w:val="center"/>
              <w:rPr>
                <w:rFonts w:cs="Times New Roman"/>
              </w:rPr>
            </w:pPr>
            <w:r>
              <w:rPr>
                <w:rFonts w:cs="Times New Roman"/>
              </w:rPr>
              <w:t>(0.005)</w:t>
            </w:r>
          </w:p>
        </w:tc>
        <w:tc>
          <w:tcPr>
            <w:tcW w:w="1540" w:type="dxa"/>
            <w:tcMar>
              <w:top w:w="60" w:type="dxa"/>
              <w:left w:w="100" w:type="dxa"/>
              <w:bottom w:w="60" w:type="dxa"/>
              <w:right w:w="100" w:type="dxa"/>
            </w:tcMar>
            <w:vAlign w:val="center"/>
          </w:tcPr>
          <w:p w14:paraId="71077FFC" w14:textId="77777777" w:rsidR="00C51332" w:rsidRPr="00D23AF2" w:rsidRDefault="00000000" w:rsidP="00D23AF2">
            <w:pPr>
              <w:spacing w:line="480" w:lineRule="auto"/>
              <w:jc w:val="center"/>
              <w:rPr>
                <w:rFonts w:cs="Times New Roman"/>
              </w:rPr>
            </w:pPr>
            <w:r>
              <w:rPr>
                <w:rFonts w:cs="Times New Roman"/>
              </w:rPr>
              <w:t>(0.006)</w:t>
            </w:r>
          </w:p>
        </w:tc>
      </w:tr>
      <w:tr w:rsidR="00A03EA4" w14:paraId="6057716D" w14:textId="77777777">
        <w:tc>
          <w:tcPr>
            <w:tcW w:w="3200" w:type="dxa"/>
            <w:tcMar>
              <w:top w:w="60" w:type="dxa"/>
              <w:left w:w="100" w:type="dxa"/>
              <w:bottom w:w="60" w:type="dxa"/>
              <w:right w:w="100" w:type="dxa"/>
            </w:tcMar>
            <w:vAlign w:val="center"/>
          </w:tcPr>
          <w:p w14:paraId="0A7D902E" w14:textId="77777777" w:rsidR="00C51332" w:rsidRPr="00D23AF2" w:rsidRDefault="00000000" w:rsidP="00D23AF2">
            <w:pPr>
              <w:spacing w:line="480" w:lineRule="auto"/>
              <w:rPr>
                <w:rFonts w:cs="Times New Roman"/>
              </w:rPr>
            </w:pPr>
            <w:r>
              <w:rPr>
                <w:rFonts w:cs="Times New Roman"/>
              </w:rPr>
              <w:t>Exposedᵢ × Postₜ (β₃, DiD coefficient)</w:t>
            </w:r>
          </w:p>
        </w:tc>
        <w:tc>
          <w:tcPr>
            <w:tcW w:w="1540" w:type="dxa"/>
            <w:tcMar>
              <w:top w:w="60" w:type="dxa"/>
              <w:left w:w="100" w:type="dxa"/>
              <w:bottom w:w="60" w:type="dxa"/>
              <w:right w:w="100" w:type="dxa"/>
            </w:tcMar>
            <w:vAlign w:val="center"/>
          </w:tcPr>
          <w:p w14:paraId="0E10D994" w14:textId="4F0C4D32" w:rsidR="00C51332" w:rsidRPr="00D23AF2" w:rsidRDefault="00000000" w:rsidP="00D23AF2">
            <w:pPr>
              <w:spacing w:line="480" w:lineRule="auto"/>
              <w:jc w:val="center"/>
              <w:rPr>
                <w:rFonts w:cs="Times New Roman"/>
              </w:rPr>
            </w:pPr>
            <w:r>
              <w:rPr>
                <w:rFonts w:cs="Times New Roman"/>
              </w:rPr>
              <w:t>0.019</w:t>
            </w:r>
          </w:p>
        </w:tc>
        <w:tc>
          <w:tcPr>
            <w:tcW w:w="1540" w:type="dxa"/>
            <w:tcMar>
              <w:top w:w="60" w:type="dxa"/>
              <w:left w:w="100" w:type="dxa"/>
              <w:bottom w:w="60" w:type="dxa"/>
              <w:right w:w="100" w:type="dxa"/>
            </w:tcMar>
            <w:vAlign w:val="center"/>
          </w:tcPr>
          <w:p w14:paraId="3777C454" w14:textId="25FA549A" w:rsidR="00C51332" w:rsidRPr="00D23AF2" w:rsidRDefault="00000000" w:rsidP="00D23AF2">
            <w:pPr>
              <w:spacing w:line="480" w:lineRule="auto"/>
              <w:jc w:val="center"/>
              <w:rPr>
                <w:rFonts w:cs="Times New Roman"/>
              </w:rPr>
            </w:pPr>
            <w:r>
              <w:rPr>
                <w:rFonts w:cs="Times New Roman"/>
              </w:rPr>
              <w:t>0.029</w:t>
            </w:r>
          </w:p>
        </w:tc>
        <w:tc>
          <w:tcPr>
            <w:tcW w:w="1540" w:type="dxa"/>
            <w:tcMar>
              <w:top w:w="60" w:type="dxa"/>
              <w:left w:w="100" w:type="dxa"/>
              <w:bottom w:w="60" w:type="dxa"/>
              <w:right w:w="100" w:type="dxa"/>
            </w:tcMar>
            <w:vAlign w:val="center"/>
          </w:tcPr>
          <w:p w14:paraId="08B3A1E3" w14:textId="0F8C5ED5" w:rsidR="00C51332" w:rsidRPr="00D23AF2" w:rsidRDefault="00000000" w:rsidP="00D23AF2">
            <w:pPr>
              <w:spacing w:line="480" w:lineRule="auto"/>
              <w:jc w:val="center"/>
              <w:rPr>
                <w:rFonts w:cs="Times New Roman"/>
              </w:rPr>
            </w:pPr>
            <w:r>
              <w:rPr>
                <w:rFonts w:cs="Times New Roman"/>
              </w:rPr>
              <w:t>0.004</w:t>
            </w:r>
          </w:p>
        </w:tc>
        <w:tc>
          <w:tcPr>
            <w:tcW w:w="1540" w:type="dxa"/>
            <w:tcMar>
              <w:top w:w="60" w:type="dxa"/>
              <w:left w:w="100" w:type="dxa"/>
              <w:bottom w:w="60" w:type="dxa"/>
              <w:right w:w="100" w:type="dxa"/>
            </w:tcMar>
            <w:vAlign w:val="center"/>
          </w:tcPr>
          <w:p w14:paraId="6E562CFF" w14:textId="171EBE6A" w:rsidR="00C51332" w:rsidRPr="00D23AF2" w:rsidRDefault="00000000" w:rsidP="00D23AF2">
            <w:pPr>
              <w:spacing w:line="480" w:lineRule="auto"/>
              <w:jc w:val="center"/>
              <w:rPr>
                <w:rFonts w:cs="Times New Roman"/>
              </w:rPr>
            </w:pPr>
            <w:r>
              <w:rPr>
                <w:rFonts w:cs="Times New Roman"/>
              </w:rPr>
              <w:t>0.034</w:t>
            </w:r>
          </w:p>
        </w:tc>
      </w:tr>
      <w:tr w:rsidR="00A03EA4" w14:paraId="4BE8E4CF" w14:textId="77777777">
        <w:tc>
          <w:tcPr>
            <w:tcW w:w="3200" w:type="dxa"/>
            <w:tcMar>
              <w:top w:w="60" w:type="dxa"/>
              <w:left w:w="100" w:type="dxa"/>
              <w:bottom w:w="60" w:type="dxa"/>
              <w:right w:w="100" w:type="dxa"/>
            </w:tcMar>
            <w:vAlign w:val="center"/>
          </w:tcPr>
          <w:p w14:paraId="284132B0" w14:textId="77777777" w:rsidR="00C51332" w:rsidRPr="00D23AF2" w:rsidRDefault="00C51332" w:rsidP="00D23AF2">
            <w:pPr>
              <w:spacing w:line="480" w:lineRule="auto"/>
              <w:rPr>
                <w:rFonts w:cs="Times New Roman"/>
              </w:rPr>
            </w:pPr>
          </w:p>
        </w:tc>
        <w:tc>
          <w:tcPr>
            <w:tcW w:w="1540" w:type="dxa"/>
            <w:tcMar>
              <w:top w:w="60" w:type="dxa"/>
              <w:left w:w="100" w:type="dxa"/>
              <w:bottom w:w="60" w:type="dxa"/>
              <w:right w:w="100" w:type="dxa"/>
            </w:tcMar>
            <w:vAlign w:val="center"/>
          </w:tcPr>
          <w:p w14:paraId="684256E3" w14:textId="77777777" w:rsidR="00C51332" w:rsidRPr="00D23AF2" w:rsidRDefault="00000000" w:rsidP="00D23AF2">
            <w:pPr>
              <w:spacing w:line="480" w:lineRule="auto"/>
              <w:jc w:val="center"/>
              <w:rPr>
                <w:rFonts w:cs="Times New Roman"/>
              </w:rPr>
            </w:pPr>
            <w:r>
              <w:rPr>
                <w:rFonts w:cs="Times New Roman"/>
              </w:rPr>
              <w:t>(0.006)</w:t>
            </w:r>
          </w:p>
        </w:tc>
        <w:tc>
          <w:tcPr>
            <w:tcW w:w="1540" w:type="dxa"/>
            <w:tcMar>
              <w:top w:w="60" w:type="dxa"/>
              <w:left w:w="100" w:type="dxa"/>
              <w:bottom w:w="60" w:type="dxa"/>
              <w:right w:w="100" w:type="dxa"/>
            </w:tcMar>
            <w:vAlign w:val="center"/>
          </w:tcPr>
          <w:p w14:paraId="540C3135" w14:textId="77777777" w:rsidR="00C51332" w:rsidRPr="00D23AF2" w:rsidRDefault="00000000" w:rsidP="00D23AF2">
            <w:pPr>
              <w:spacing w:line="480" w:lineRule="auto"/>
              <w:jc w:val="center"/>
              <w:rPr>
                <w:rFonts w:cs="Times New Roman"/>
              </w:rPr>
            </w:pPr>
            <w:r>
              <w:rPr>
                <w:rFonts w:cs="Times New Roman"/>
              </w:rPr>
              <w:t>(0.009)</w:t>
            </w:r>
          </w:p>
        </w:tc>
        <w:tc>
          <w:tcPr>
            <w:tcW w:w="1540" w:type="dxa"/>
            <w:tcMar>
              <w:top w:w="60" w:type="dxa"/>
              <w:left w:w="100" w:type="dxa"/>
              <w:bottom w:w="60" w:type="dxa"/>
              <w:right w:w="100" w:type="dxa"/>
            </w:tcMar>
            <w:vAlign w:val="center"/>
          </w:tcPr>
          <w:p w14:paraId="72C8A9EC" w14:textId="77777777" w:rsidR="00C51332" w:rsidRPr="00D23AF2" w:rsidRDefault="00000000" w:rsidP="00D23AF2">
            <w:pPr>
              <w:spacing w:line="480" w:lineRule="auto"/>
              <w:jc w:val="center"/>
              <w:rPr>
                <w:rFonts w:cs="Times New Roman"/>
              </w:rPr>
            </w:pPr>
            <w:r>
              <w:rPr>
                <w:rFonts w:cs="Times New Roman"/>
              </w:rPr>
              <w:t>(0.005)</w:t>
            </w:r>
          </w:p>
        </w:tc>
        <w:tc>
          <w:tcPr>
            <w:tcW w:w="1540" w:type="dxa"/>
            <w:tcMar>
              <w:top w:w="60" w:type="dxa"/>
              <w:left w:w="100" w:type="dxa"/>
              <w:bottom w:w="60" w:type="dxa"/>
              <w:right w:w="100" w:type="dxa"/>
            </w:tcMar>
            <w:vAlign w:val="center"/>
          </w:tcPr>
          <w:p w14:paraId="172BC39D" w14:textId="77777777" w:rsidR="00C51332" w:rsidRPr="00D23AF2" w:rsidRDefault="00000000" w:rsidP="00D23AF2">
            <w:pPr>
              <w:spacing w:line="480" w:lineRule="auto"/>
              <w:jc w:val="center"/>
              <w:rPr>
                <w:rFonts w:cs="Times New Roman"/>
              </w:rPr>
            </w:pPr>
            <w:r>
              <w:rPr>
                <w:rFonts w:cs="Times New Roman"/>
              </w:rPr>
              <w:t>(0.010)</w:t>
            </w:r>
          </w:p>
        </w:tc>
      </w:tr>
      <w:tr w:rsidR="00A03EA4" w14:paraId="218CAC39" w14:textId="77777777">
        <w:tc>
          <w:tcPr>
            <w:tcW w:w="3200" w:type="dxa"/>
            <w:tcMar>
              <w:top w:w="60" w:type="dxa"/>
              <w:left w:w="100" w:type="dxa"/>
              <w:bottom w:w="60" w:type="dxa"/>
              <w:right w:w="100" w:type="dxa"/>
            </w:tcMar>
            <w:vAlign w:val="center"/>
          </w:tcPr>
          <w:p w14:paraId="57A58454" w14:textId="77777777" w:rsidR="00C51332" w:rsidRPr="00D23AF2" w:rsidRDefault="00000000" w:rsidP="00D23AF2">
            <w:pPr>
              <w:spacing w:line="480" w:lineRule="auto"/>
              <w:rPr>
                <w:rFonts w:cs="Times New Roman"/>
              </w:rPr>
            </w:pPr>
            <w:r>
              <w:rPr>
                <w:rFonts w:cs="Times New Roman"/>
              </w:rPr>
              <w:t>Seasonal controls</w:t>
            </w:r>
          </w:p>
        </w:tc>
        <w:tc>
          <w:tcPr>
            <w:tcW w:w="1540" w:type="dxa"/>
            <w:tcMar>
              <w:top w:w="60" w:type="dxa"/>
              <w:left w:w="100" w:type="dxa"/>
              <w:bottom w:w="60" w:type="dxa"/>
              <w:right w:w="100" w:type="dxa"/>
            </w:tcMar>
            <w:vAlign w:val="center"/>
          </w:tcPr>
          <w:p w14:paraId="03D25C1E" w14:textId="77777777" w:rsidR="00C51332" w:rsidRPr="00D23AF2" w:rsidRDefault="00000000" w:rsidP="00D23AF2">
            <w:pPr>
              <w:spacing w:line="480" w:lineRule="auto"/>
              <w:jc w:val="center"/>
              <w:rPr>
                <w:rFonts w:cs="Times New Roman"/>
              </w:rPr>
            </w:pPr>
            <w:r>
              <w:rPr>
                <w:rFonts w:cs="Times New Roman"/>
              </w:rPr>
              <w:t>Yes</w:t>
            </w:r>
          </w:p>
        </w:tc>
        <w:tc>
          <w:tcPr>
            <w:tcW w:w="1540" w:type="dxa"/>
            <w:tcMar>
              <w:top w:w="60" w:type="dxa"/>
              <w:left w:w="100" w:type="dxa"/>
              <w:bottom w:w="60" w:type="dxa"/>
              <w:right w:w="100" w:type="dxa"/>
            </w:tcMar>
            <w:vAlign w:val="center"/>
          </w:tcPr>
          <w:p w14:paraId="382496F5" w14:textId="77777777" w:rsidR="00C51332" w:rsidRPr="00D23AF2" w:rsidRDefault="00000000" w:rsidP="00D23AF2">
            <w:pPr>
              <w:spacing w:line="480" w:lineRule="auto"/>
              <w:jc w:val="center"/>
              <w:rPr>
                <w:rFonts w:cs="Times New Roman"/>
              </w:rPr>
            </w:pPr>
            <w:r>
              <w:rPr>
                <w:rFonts w:cs="Times New Roman"/>
              </w:rPr>
              <w:t>Yes</w:t>
            </w:r>
          </w:p>
        </w:tc>
        <w:tc>
          <w:tcPr>
            <w:tcW w:w="1540" w:type="dxa"/>
            <w:tcMar>
              <w:top w:w="60" w:type="dxa"/>
              <w:left w:w="100" w:type="dxa"/>
              <w:bottom w:w="60" w:type="dxa"/>
              <w:right w:w="100" w:type="dxa"/>
            </w:tcMar>
            <w:vAlign w:val="center"/>
          </w:tcPr>
          <w:p w14:paraId="6EC00759" w14:textId="77777777" w:rsidR="00C51332" w:rsidRPr="00D23AF2" w:rsidRDefault="00000000" w:rsidP="00D23AF2">
            <w:pPr>
              <w:spacing w:line="480" w:lineRule="auto"/>
              <w:jc w:val="center"/>
              <w:rPr>
                <w:rFonts w:cs="Times New Roman"/>
              </w:rPr>
            </w:pPr>
            <w:r>
              <w:rPr>
                <w:rFonts w:cs="Times New Roman"/>
              </w:rPr>
              <w:t>Yes</w:t>
            </w:r>
          </w:p>
        </w:tc>
        <w:tc>
          <w:tcPr>
            <w:tcW w:w="1540" w:type="dxa"/>
            <w:tcMar>
              <w:top w:w="60" w:type="dxa"/>
              <w:left w:w="100" w:type="dxa"/>
              <w:bottom w:w="60" w:type="dxa"/>
              <w:right w:w="100" w:type="dxa"/>
            </w:tcMar>
            <w:vAlign w:val="center"/>
          </w:tcPr>
          <w:p w14:paraId="57E6D312" w14:textId="77777777" w:rsidR="00C51332" w:rsidRPr="00D23AF2" w:rsidRDefault="00000000" w:rsidP="00D23AF2">
            <w:pPr>
              <w:spacing w:line="480" w:lineRule="auto"/>
              <w:jc w:val="center"/>
              <w:rPr>
                <w:rFonts w:cs="Times New Roman"/>
              </w:rPr>
            </w:pPr>
            <w:r>
              <w:rPr>
                <w:rFonts w:cs="Times New Roman"/>
              </w:rPr>
              <w:t>Yes</w:t>
            </w:r>
          </w:p>
        </w:tc>
      </w:tr>
      <w:tr w:rsidR="00A03EA4" w14:paraId="227C4B92" w14:textId="77777777">
        <w:tc>
          <w:tcPr>
            <w:tcW w:w="3200" w:type="dxa"/>
            <w:tcMar>
              <w:top w:w="60" w:type="dxa"/>
              <w:left w:w="100" w:type="dxa"/>
              <w:bottom w:w="60" w:type="dxa"/>
              <w:right w:w="100" w:type="dxa"/>
            </w:tcMar>
            <w:vAlign w:val="center"/>
          </w:tcPr>
          <w:p w14:paraId="1DBEF18B" w14:textId="77777777" w:rsidR="00C51332" w:rsidRPr="00D23AF2" w:rsidRDefault="00000000" w:rsidP="00D23AF2">
            <w:pPr>
              <w:spacing w:line="480" w:lineRule="auto"/>
              <w:rPr>
                <w:rFonts w:cs="Times New Roman"/>
              </w:rPr>
            </w:pPr>
            <w:r>
              <w:rPr>
                <w:rFonts w:cs="Times New Roman"/>
              </w:rPr>
              <w:t>Observations</w:t>
            </w:r>
          </w:p>
        </w:tc>
        <w:tc>
          <w:tcPr>
            <w:tcW w:w="1540" w:type="dxa"/>
            <w:tcMar>
              <w:top w:w="60" w:type="dxa"/>
              <w:left w:w="100" w:type="dxa"/>
              <w:bottom w:w="60" w:type="dxa"/>
              <w:right w:w="100" w:type="dxa"/>
            </w:tcMar>
            <w:vAlign w:val="center"/>
          </w:tcPr>
          <w:p w14:paraId="41453424" w14:textId="77777777" w:rsidR="00C51332" w:rsidRPr="00D23AF2" w:rsidRDefault="00000000" w:rsidP="00D23AF2">
            <w:pPr>
              <w:spacing w:line="480" w:lineRule="auto"/>
              <w:jc w:val="center"/>
              <w:rPr>
                <w:rFonts w:cs="Times New Roman"/>
              </w:rPr>
            </w:pPr>
            <w:r>
              <w:rPr>
                <w:rFonts w:cs="Times New Roman"/>
              </w:rPr>
              <w:t>1,440</w:t>
            </w:r>
          </w:p>
        </w:tc>
        <w:tc>
          <w:tcPr>
            <w:tcW w:w="1540" w:type="dxa"/>
            <w:tcMar>
              <w:top w:w="60" w:type="dxa"/>
              <w:left w:w="100" w:type="dxa"/>
              <w:bottom w:w="60" w:type="dxa"/>
              <w:right w:w="100" w:type="dxa"/>
            </w:tcMar>
            <w:vAlign w:val="center"/>
          </w:tcPr>
          <w:p w14:paraId="16EE3055" w14:textId="77777777" w:rsidR="00C51332" w:rsidRPr="00D23AF2" w:rsidRDefault="00000000" w:rsidP="00D23AF2">
            <w:pPr>
              <w:spacing w:line="480" w:lineRule="auto"/>
              <w:jc w:val="center"/>
              <w:rPr>
                <w:rFonts w:cs="Times New Roman"/>
              </w:rPr>
            </w:pPr>
            <w:r>
              <w:rPr>
                <w:rFonts w:cs="Times New Roman"/>
              </w:rPr>
              <w:t>720</w:t>
            </w:r>
          </w:p>
        </w:tc>
        <w:tc>
          <w:tcPr>
            <w:tcW w:w="1540" w:type="dxa"/>
            <w:tcMar>
              <w:top w:w="60" w:type="dxa"/>
              <w:left w:w="100" w:type="dxa"/>
              <w:bottom w:w="60" w:type="dxa"/>
              <w:right w:w="100" w:type="dxa"/>
            </w:tcMar>
            <w:vAlign w:val="center"/>
          </w:tcPr>
          <w:p w14:paraId="4AC0EBE5" w14:textId="77777777" w:rsidR="00C51332" w:rsidRPr="00D23AF2" w:rsidRDefault="00000000" w:rsidP="00D23AF2">
            <w:pPr>
              <w:spacing w:line="480" w:lineRule="auto"/>
              <w:jc w:val="center"/>
              <w:rPr>
                <w:rFonts w:cs="Times New Roman"/>
              </w:rPr>
            </w:pPr>
            <w:r>
              <w:rPr>
                <w:rFonts w:cs="Times New Roman"/>
              </w:rPr>
              <w:t>720</w:t>
            </w:r>
          </w:p>
        </w:tc>
        <w:tc>
          <w:tcPr>
            <w:tcW w:w="1540" w:type="dxa"/>
            <w:tcMar>
              <w:top w:w="60" w:type="dxa"/>
              <w:left w:w="100" w:type="dxa"/>
              <w:bottom w:w="60" w:type="dxa"/>
              <w:right w:w="100" w:type="dxa"/>
            </w:tcMar>
            <w:vAlign w:val="center"/>
          </w:tcPr>
          <w:p w14:paraId="662680D0" w14:textId="77777777" w:rsidR="00C51332" w:rsidRPr="00D23AF2" w:rsidRDefault="00000000" w:rsidP="00D23AF2">
            <w:pPr>
              <w:spacing w:line="480" w:lineRule="auto"/>
              <w:jc w:val="center"/>
              <w:rPr>
                <w:rFonts w:cs="Times New Roman"/>
              </w:rPr>
            </w:pPr>
            <w:r>
              <w:rPr>
                <w:rFonts w:cs="Times New Roman"/>
              </w:rPr>
              <w:t>720</w:t>
            </w:r>
          </w:p>
        </w:tc>
      </w:tr>
      <w:tr w:rsidR="00A03EA4" w14:paraId="690ACDAB" w14:textId="77777777">
        <w:tc>
          <w:tcPr>
            <w:tcW w:w="3200" w:type="dxa"/>
            <w:tcMar>
              <w:top w:w="60" w:type="dxa"/>
              <w:left w:w="100" w:type="dxa"/>
              <w:bottom w:w="60" w:type="dxa"/>
              <w:right w:w="100" w:type="dxa"/>
            </w:tcMar>
            <w:vAlign w:val="center"/>
          </w:tcPr>
          <w:p w14:paraId="2621F49B" w14:textId="77777777" w:rsidR="00C51332" w:rsidRPr="00D23AF2" w:rsidRDefault="00000000" w:rsidP="00D23AF2">
            <w:pPr>
              <w:spacing w:line="480" w:lineRule="auto"/>
              <w:rPr>
                <w:rFonts w:cs="Times New Roman"/>
              </w:rPr>
            </w:pPr>
            <w:r>
              <w:rPr>
                <w:rFonts w:cs="Times New Roman"/>
              </w:rPr>
              <w:t>R²</w:t>
            </w:r>
          </w:p>
        </w:tc>
        <w:tc>
          <w:tcPr>
            <w:tcW w:w="1540" w:type="dxa"/>
            <w:tcMar>
              <w:top w:w="60" w:type="dxa"/>
              <w:left w:w="100" w:type="dxa"/>
              <w:bottom w:w="60" w:type="dxa"/>
              <w:right w:w="100" w:type="dxa"/>
            </w:tcMar>
            <w:vAlign w:val="center"/>
          </w:tcPr>
          <w:p w14:paraId="7FB1A4D0" w14:textId="77777777" w:rsidR="00C51332" w:rsidRPr="00D23AF2" w:rsidRDefault="00000000" w:rsidP="00D23AF2">
            <w:pPr>
              <w:spacing w:line="480" w:lineRule="auto"/>
              <w:jc w:val="center"/>
              <w:rPr>
                <w:rFonts w:cs="Times New Roman"/>
              </w:rPr>
            </w:pPr>
            <w:r>
              <w:rPr>
                <w:rFonts w:cs="Times New Roman"/>
              </w:rPr>
              <w:t>0.61</w:t>
            </w:r>
          </w:p>
        </w:tc>
        <w:tc>
          <w:tcPr>
            <w:tcW w:w="1540" w:type="dxa"/>
            <w:tcMar>
              <w:top w:w="60" w:type="dxa"/>
              <w:left w:w="100" w:type="dxa"/>
              <w:bottom w:w="60" w:type="dxa"/>
              <w:right w:w="100" w:type="dxa"/>
            </w:tcMar>
            <w:vAlign w:val="center"/>
          </w:tcPr>
          <w:p w14:paraId="5D0CBCD7" w14:textId="77777777" w:rsidR="00C51332" w:rsidRPr="00D23AF2" w:rsidRDefault="00000000" w:rsidP="00D23AF2">
            <w:pPr>
              <w:spacing w:line="480" w:lineRule="auto"/>
              <w:jc w:val="center"/>
              <w:rPr>
                <w:rFonts w:cs="Times New Roman"/>
              </w:rPr>
            </w:pPr>
            <w:r>
              <w:rPr>
                <w:rFonts w:cs="Times New Roman"/>
              </w:rPr>
              <w:t>0.67</w:t>
            </w:r>
          </w:p>
        </w:tc>
        <w:tc>
          <w:tcPr>
            <w:tcW w:w="1540" w:type="dxa"/>
            <w:tcMar>
              <w:top w:w="60" w:type="dxa"/>
              <w:left w:w="100" w:type="dxa"/>
              <w:bottom w:w="60" w:type="dxa"/>
              <w:right w:w="100" w:type="dxa"/>
            </w:tcMar>
            <w:vAlign w:val="center"/>
          </w:tcPr>
          <w:p w14:paraId="4CB578EB" w14:textId="77777777" w:rsidR="00C51332" w:rsidRPr="00D23AF2" w:rsidRDefault="00000000" w:rsidP="00D23AF2">
            <w:pPr>
              <w:spacing w:line="480" w:lineRule="auto"/>
              <w:jc w:val="center"/>
              <w:rPr>
                <w:rFonts w:cs="Times New Roman"/>
              </w:rPr>
            </w:pPr>
            <w:r>
              <w:rPr>
                <w:rFonts w:cs="Times New Roman"/>
              </w:rPr>
              <w:t>0.44</w:t>
            </w:r>
          </w:p>
        </w:tc>
        <w:tc>
          <w:tcPr>
            <w:tcW w:w="1540" w:type="dxa"/>
            <w:tcMar>
              <w:top w:w="60" w:type="dxa"/>
              <w:left w:w="100" w:type="dxa"/>
              <w:bottom w:w="60" w:type="dxa"/>
              <w:right w:w="100" w:type="dxa"/>
            </w:tcMar>
            <w:vAlign w:val="center"/>
          </w:tcPr>
          <w:p w14:paraId="68ECB007" w14:textId="77777777" w:rsidR="00C51332" w:rsidRPr="00D23AF2" w:rsidRDefault="00000000" w:rsidP="00D23AF2">
            <w:pPr>
              <w:spacing w:line="480" w:lineRule="auto"/>
              <w:jc w:val="center"/>
              <w:rPr>
                <w:rFonts w:cs="Times New Roman"/>
              </w:rPr>
            </w:pPr>
            <w:r>
              <w:rPr>
                <w:rFonts w:cs="Times New Roman"/>
              </w:rPr>
              <w:t>0.69</w:t>
            </w:r>
          </w:p>
        </w:tc>
      </w:tr>
    </w:tbl>
    <w:p w14:paraId="70E3EA52" w14:textId="456369F6" w:rsidR="00C51332" w:rsidRPr="00750ABF" w:rsidRDefault="00000000" w:rsidP="00D23AF2">
      <w:pPr>
        <w:spacing w:before="60" w:after="60" w:line="480" w:lineRule="auto"/>
        <w:rPr>
          <w:rFonts w:cs="Times New Roman"/>
        </w:rPr>
      </w:pPr>
      <w:r w:rsidRPr="00750ABF">
        <w:rPr>
          <w:rFonts w:cs="Times New Roman"/>
        </w:rPr>
        <w:t>Standard errors clustered at product category level in parentheses</w:t>
      </w:r>
      <w:r w:rsidRPr="0026085F">
        <w:rPr>
          <w:rFonts w:ascii="Cambria Math" w:hAnsi="Cambria Math" w:cs="Times New Roman"/>
        </w:rPr>
        <w:t>.  p&lt;0.01,  p&lt;0.05, p&lt;0.10.</w:t>
      </w:r>
      <w:r w:rsidRPr="00750ABF">
        <w:rPr>
          <w:rFonts w:cs="Times New Roman"/>
        </w:rPr>
        <w:t xml:space="preserve"> Dependent variable: monthly log price change </w:t>
      </w:r>
      <w:r w:rsidRPr="0026085F">
        <w:rPr>
          <w:rFonts w:ascii="Cambria Math" w:hAnsi="Cambria Math" w:cs="Times New Roman"/>
        </w:rPr>
        <w:t>(ΔPᵢ</w:t>
      </w:r>
      <w:r w:rsidRPr="0026085F">
        <w:rPr>
          <w:rFonts w:ascii="Segoe UI Symbol" w:hAnsi="Segoe UI Symbol" w:cs="Segoe UI Symbol"/>
        </w:rPr>
        <w:t>ₜ</w:t>
      </w:r>
      <w:r w:rsidRPr="0026085F">
        <w:rPr>
          <w:rFonts w:ascii="Cambria Math" w:hAnsi="Cambria Math" w:cs="Times New Roman"/>
        </w:rPr>
        <w:t>).</w:t>
      </w:r>
      <w:r w:rsidRPr="00750ABF">
        <w:rPr>
          <w:rFonts w:cs="Times New Roman"/>
        </w:rPr>
        <w:t xml:space="preserve"> Column (4) weights observations by </w:t>
      </w:r>
      <w:r w:rsidR="0026085F" w:rsidRPr="00750ABF">
        <w:rPr>
          <w:rFonts w:cs="Times New Roman"/>
        </w:rPr>
        <w:t>bottom quintile</w:t>
      </w:r>
      <w:r w:rsidRPr="00750ABF">
        <w:rPr>
          <w:rFonts w:cs="Times New Roman"/>
        </w:rPr>
        <w:t xml:space="preserve"> (Q1) expenditure share. Exposed = categories with IEEPA tariff rate &gt; 15% (apparel, </w:t>
      </w:r>
      <w:r w:rsidRPr="00750ABF">
        <w:rPr>
          <w:rFonts w:cs="Times New Roman"/>
        </w:rPr>
        <w:lastRenderedPageBreak/>
        <w:t>footwear, food). Post = June–December 2025 (</w:t>
      </w:r>
      <w:r w:rsidR="0026085F" w:rsidRPr="00750ABF">
        <w:rPr>
          <w:rFonts w:cs="Times New Roman"/>
        </w:rPr>
        <w:t>post SCOTUS</w:t>
      </w:r>
      <w:r w:rsidRPr="00750ABF">
        <w:rPr>
          <w:rFonts w:cs="Times New Roman"/>
        </w:rPr>
        <w:t xml:space="preserve"> ruling). Source: BLS CPI Microdata (2025); Yale Budget Lab (2025a); Author calculations.</w:t>
      </w:r>
    </w:p>
    <w:p w14:paraId="72A13C1B" w14:textId="77777777" w:rsidR="00C51332" w:rsidRPr="00D23AF2" w:rsidRDefault="00C51332" w:rsidP="00D23AF2">
      <w:pPr>
        <w:spacing w:before="80" w:line="480" w:lineRule="auto"/>
        <w:rPr>
          <w:rFonts w:cs="Times New Roman"/>
        </w:rPr>
      </w:pPr>
    </w:p>
    <w:p w14:paraId="2E8BBC70" w14:textId="0AA333D7" w:rsidR="00C51332" w:rsidRPr="00D23AF2" w:rsidRDefault="00000000" w:rsidP="00D23AF2">
      <w:pPr>
        <w:spacing w:before="100" w:after="80" w:line="480" w:lineRule="auto"/>
        <w:rPr>
          <w:rFonts w:cs="Times New Roman"/>
        </w:rPr>
      </w:pPr>
      <w:r>
        <w:rPr>
          <w:rFonts w:cs="Times New Roman"/>
        </w:rPr>
        <w:t xml:space="preserve">The DiD coefficient on (Exposed × Post) in Column 1 is −0.019 (SE = 0.006, p &lt; 0.01), indicating that </w:t>
      </w:r>
      <w:r w:rsidR="0026085F">
        <w:rPr>
          <w:rFonts w:cs="Times New Roman"/>
        </w:rPr>
        <w:t>tariff exposed</w:t>
      </w:r>
      <w:r>
        <w:rPr>
          <w:rFonts w:cs="Times New Roman"/>
        </w:rPr>
        <w:t xml:space="preserve"> categories experienced price growth 1.9 percentage points lower per month after the SCOTUS ruling relative to unexposed categories. Column 2 shows the effect is concentrated in necessity goods (−0.029, p &lt; 0.01), while Column 3 confirms no statistically significant effect for discretionary goods (−0.004, p &gt; 0.10), consistent with the compositional shift mechanism. Column 4, weighted by Q1 expenditure shares, shows the largest coefficient (−0.034), confirming that the price relief was disproportionately concentrated in categories that matter most for </w:t>
      </w:r>
      <w:r w:rsidR="0026085F">
        <w:rPr>
          <w:rFonts w:cs="Times New Roman"/>
        </w:rPr>
        <w:t>bottom quintile</w:t>
      </w:r>
      <w:r>
        <w:rPr>
          <w:rFonts w:cs="Times New Roman"/>
        </w:rPr>
        <w:t xml:space="preserve"> households.</w:t>
      </w:r>
    </w:p>
    <w:p w14:paraId="41C8EC6E" w14:textId="6CCD914E" w:rsidR="00C51332" w:rsidRPr="00D23AF2" w:rsidRDefault="00000000" w:rsidP="00D23AF2">
      <w:pPr>
        <w:spacing w:before="100" w:after="80" w:line="480" w:lineRule="auto"/>
        <w:rPr>
          <w:rFonts w:cs="Times New Roman"/>
        </w:rPr>
      </w:pPr>
      <w:r>
        <w:rPr>
          <w:rFonts w:cs="Times New Roman"/>
        </w:rPr>
        <w:t xml:space="preserve">The monotonic decline in loss reduction across quintiles (Table 3: 69 percent, 68 percent, 66 percent, 64 percent, 62 percent) confirms H2: the compositional shift from necessity to </w:t>
      </w:r>
      <w:r w:rsidR="0026085F">
        <w:rPr>
          <w:rFonts w:cs="Times New Roman"/>
        </w:rPr>
        <w:t>capital intensive</w:t>
      </w:r>
      <w:r>
        <w:rPr>
          <w:rFonts w:cs="Times New Roman"/>
        </w:rPr>
        <w:t xml:space="preserve"> tariff exposure reduced the distributional gradient, with proportionally larger relief for </w:t>
      </w:r>
      <w:r w:rsidR="0026085F">
        <w:rPr>
          <w:rFonts w:cs="Times New Roman"/>
        </w:rPr>
        <w:t>low income</w:t>
      </w:r>
      <w:r>
        <w:rPr>
          <w:rFonts w:cs="Times New Roman"/>
        </w:rPr>
        <w:t xml:space="preserve"> households. The aggregate price level increase attributable to tariffs fell from 1.2 to 0.6 percent, and mean household losses declined from $2,400 to $800—a 67 percent reduction. Table 5 summarizes the pre and </w:t>
      </w:r>
      <w:r w:rsidR="0026085F">
        <w:rPr>
          <w:rFonts w:cs="Times New Roman"/>
        </w:rPr>
        <w:t>post ruling</w:t>
      </w:r>
      <w:r>
        <w:rPr>
          <w:rFonts w:cs="Times New Roman"/>
        </w:rPr>
        <w:t xml:space="preserve"> equilibrium comparison.</w:t>
      </w:r>
    </w:p>
    <w:p w14:paraId="54230656" w14:textId="77777777" w:rsidR="00C51332" w:rsidRPr="00D23AF2" w:rsidRDefault="00C51332" w:rsidP="00D23AF2">
      <w:pPr>
        <w:spacing w:before="80" w:line="480" w:lineRule="auto"/>
        <w:rPr>
          <w:rFonts w:cs="Times New Roman"/>
        </w:rPr>
      </w:pPr>
    </w:p>
    <w:p w14:paraId="5EB6EAEE" w14:textId="5DD62BFC" w:rsidR="00C51332" w:rsidRPr="00D23AF2" w:rsidRDefault="00000000" w:rsidP="00D23AF2">
      <w:pPr>
        <w:spacing w:after="80" w:line="480" w:lineRule="auto"/>
        <w:rPr>
          <w:rFonts w:cs="Times New Roman"/>
        </w:rPr>
      </w:pPr>
      <w:r>
        <w:rPr>
          <w:rFonts w:cs="Times New Roman"/>
          <w:b/>
          <w:bCs/>
        </w:rPr>
        <w:t xml:space="preserve">Table 5.  Full IEEPA vs. </w:t>
      </w:r>
      <w:r w:rsidR="0026085F">
        <w:rPr>
          <w:rFonts w:cs="Times New Roman"/>
          <w:b/>
          <w:bCs/>
        </w:rPr>
        <w:t>Post SCOTUS</w:t>
      </w:r>
      <w:r>
        <w:rPr>
          <w:rFonts w:cs="Times New Roman"/>
          <w:b/>
          <w:bCs/>
        </w:rPr>
        <w:t xml:space="preserve"> Equilibrium: Summary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A03EA4" w14:paraId="17C6ED12" w14:textId="77777777" w:rsidTr="00750ABF">
        <w:trPr>
          <w:tblHeader/>
        </w:trPr>
        <w:tc>
          <w:tcPr>
            <w:tcW w:w="3360" w:type="dxa"/>
            <w:shd w:val="clear" w:color="auto" w:fill="auto"/>
            <w:tcMar>
              <w:top w:w="60" w:type="dxa"/>
              <w:left w:w="100" w:type="dxa"/>
              <w:bottom w:w="60" w:type="dxa"/>
              <w:right w:w="100" w:type="dxa"/>
            </w:tcMar>
            <w:vAlign w:val="center"/>
          </w:tcPr>
          <w:p w14:paraId="2A5F9690" w14:textId="77777777" w:rsidR="00C51332" w:rsidRPr="00D23AF2" w:rsidRDefault="00000000" w:rsidP="00D23AF2">
            <w:pPr>
              <w:spacing w:line="480" w:lineRule="auto"/>
              <w:rPr>
                <w:rFonts w:cs="Times New Roman"/>
              </w:rPr>
            </w:pPr>
            <w:r>
              <w:rPr>
                <w:rFonts w:cs="Times New Roman"/>
                <w:b/>
                <w:bCs/>
              </w:rPr>
              <w:t>Metric</w:t>
            </w:r>
          </w:p>
        </w:tc>
        <w:tc>
          <w:tcPr>
            <w:tcW w:w="3000" w:type="dxa"/>
            <w:shd w:val="clear" w:color="auto" w:fill="auto"/>
            <w:tcMar>
              <w:top w:w="60" w:type="dxa"/>
              <w:left w:w="100" w:type="dxa"/>
              <w:bottom w:w="60" w:type="dxa"/>
              <w:right w:w="100" w:type="dxa"/>
            </w:tcMar>
            <w:vAlign w:val="center"/>
          </w:tcPr>
          <w:p w14:paraId="301FCD95" w14:textId="77777777" w:rsidR="00C51332" w:rsidRPr="00D23AF2" w:rsidRDefault="00000000" w:rsidP="00D23AF2">
            <w:pPr>
              <w:spacing w:line="480" w:lineRule="auto"/>
              <w:jc w:val="center"/>
              <w:rPr>
                <w:rFonts w:cs="Times New Roman"/>
              </w:rPr>
            </w:pPr>
            <w:r>
              <w:rPr>
                <w:rFonts w:cs="Times New Roman"/>
                <w:b/>
                <w:bCs/>
              </w:rPr>
              <w:t>Full IEEPA Regime</w:t>
            </w:r>
          </w:p>
        </w:tc>
        <w:tc>
          <w:tcPr>
            <w:tcW w:w="3000" w:type="dxa"/>
            <w:shd w:val="clear" w:color="auto" w:fill="auto"/>
            <w:tcMar>
              <w:top w:w="60" w:type="dxa"/>
              <w:left w:w="100" w:type="dxa"/>
              <w:bottom w:w="60" w:type="dxa"/>
              <w:right w:w="100" w:type="dxa"/>
            </w:tcMar>
            <w:vAlign w:val="center"/>
          </w:tcPr>
          <w:p w14:paraId="4F1E9A9B" w14:textId="1EA13B29" w:rsidR="00C51332" w:rsidRPr="00D23AF2" w:rsidRDefault="0026085F" w:rsidP="00D23AF2">
            <w:pPr>
              <w:spacing w:line="480" w:lineRule="auto"/>
              <w:jc w:val="center"/>
              <w:rPr>
                <w:rFonts w:cs="Times New Roman"/>
              </w:rPr>
            </w:pPr>
            <w:r>
              <w:rPr>
                <w:rFonts w:cs="Times New Roman"/>
                <w:b/>
                <w:bCs/>
              </w:rPr>
              <w:t>Post SCOTUS</w:t>
            </w:r>
            <w:r w:rsidR="00000000">
              <w:rPr>
                <w:rFonts w:cs="Times New Roman"/>
                <w:b/>
                <w:bCs/>
              </w:rPr>
              <w:t xml:space="preserve"> Equilibrium</w:t>
            </w:r>
          </w:p>
        </w:tc>
      </w:tr>
      <w:tr w:rsidR="00A03EA4" w14:paraId="169EAF59" w14:textId="77777777">
        <w:tc>
          <w:tcPr>
            <w:tcW w:w="3360" w:type="dxa"/>
            <w:tcMar>
              <w:top w:w="60" w:type="dxa"/>
              <w:left w:w="100" w:type="dxa"/>
              <w:bottom w:w="60" w:type="dxa"/>
              <w:right w:w="100" w:type="dxa"/>
            </w:tcMar>
            <w:vAlign w:val="center"/>
          </w:tcPr>
          <w:p w14:paraId="6DD07DA1" w14:textId="77777777" w:rsidR="00C51332" w:rsidRPr="00D23AF2" w:rsidRDefault="00000000" w:rsidP="00D23AF2">
            <w:pPr>
              <w:spacing w:line="480" w:lineRule="auto"/>
              <w:rPr>
                <w:rFonts w:cs="Times New Roman"/>
              </w:rPr>
            </w:pPr>
            <w:r>
              <w:rPr>
                <w:rFonts w:cs="Times New Roman"/>
              </w:rPr>
              <w:t>Average effective tariff rate</w:t>
            </w:r>
          </w:p>
        </w:tc>
        <w:tc>
          <w:tcPr>
            <w:tcW w:w="3000" w:type="dxa"/>
            <w:tcMar>
              <w:top w:w="60" w:type="dxa"/>
              <w:left w:w="100" w:type="dxa"/>
              <w:bottom w:w="60" w:type="dxa"/>
              <w:right w:w="100" w:type="dxa"/>
            </w:tcMar>
            <w:vAlign w:val="center"/>
          </w:tcPr>
          <w:p w14:paraId="72708CFC" w14:textId="77777777" w:rsidR="00C51332" w:rsidRPr="00D23AF2" w:rsidRDefault="00000000" w:rsidP="00D23AF2">
            <w:pPr>
              <w:spacing w:line="480" w:lineRule="auto"/>
              <w:jc w:val="center"/>
              <w:rPr>
                <w:rFonts w:cs="Times New Roman"/>
              </w:rPr>
            </w:pPr>
            <w:r>
              <w:rPr>
                <w:rFonts w:cs="Times New Roman"/>
              </w:rPr>
              <w:t>18.3%</w:t>
            </w:r>
          </w:p>
        </w:tc>
        <w:tc>
          <w:tcPr>
            <w:tcW w:w="3000" w:type="dxa"/>
            <w:tcMar>
              <w:top w:w="60" w:type="dxa"/>
              <w:left w:w="100" w:type="dxa"/>
              <w:bottom w:w="60" w:type="dxa"/>
              <w:right w:w="100" w:type="dxa"/>
            </w:tcMar>
            <w:vAlign w:val="center"/>
          </w:tcPr>
          <w:p w14:paraId="62DD975B" w14:textId="77777777" w:rsidR="00C51332" w:rsidRPr="00D23AF2" w:rsidRDefault="00000000" w:rsidP="00D23AF2">
            <w:pPr>
              <w:spacing w:line="480" w:lineRule="auto"/>
              <w:jc w:val="center"/>
              <w:rPr>
                <w:rFonts w:cs="Times New Roman"/>
              </w:rPr>
            </w:pPr>
            <w:r>
              <w:rPr>
                <w:rFonts w:cs="Times New Roman"/>
              </w:rPr>
              <w:t>9.1%</w:t>
            </w:r>
          </w:p>
        </w:tc>
      </w:tr>
      <w:tr w:rsidR="00A03EA4" w14:paraId="4E2E66F0" w14:textId="77777777">
        <w:tc>
          <w:tcPr>
            <w:tcW w:w="3360" w:type="dxa"/>
            <w:tcMar>
              <w:top w:w="60" w:type="dxa"/>
              <w:left w:w="100" w:type="dxa"/>
              <w:bottom w:w="60" w:type="dxa"/>
              <w:right w:w="100" w:type="dxa"/>
            </w:tcMar>
            <w:vAlign w:val="center"/>
          </w:tcPr>
          <w:p w14:paraId="463C46BD" w14:textId="16960954" w:rsidR="00C51332" w:rsidRPr="00D23AF2" w:rsidRDefault="0026085F" w:rsidP="00D23AF2">
            <w:pPr>
              <w:spacing w:line="480" w:lineRule="auto"/>
              <w:rPr>
                <w:rFonts w:cs="Times New Roman"/>
              </w:rPr>
            </w:pPr>
            <w:r>
              <w:rPr>
                <w:rFonts w:cs="Times New Roman"/>
              </w:rPr>
              <w:lastRenderedPageBreak/>
              <w:t>Short run</w:t>
            </w:r>
            <w:r w:rsidR="00000000">
              <w:rPr>
                <w:rFonts w:cs="Times New Roman"/>
              </w:rPr>
              <w:t xml:space="preserve"> aggregate price level rise</w:t>
            </w:r>
          </w:p>
        </w:tc>
        <w:tc>
          <w:tcPr>
            <w:tcW w:w="3000" w:type="dxa"/>
            <w:tcMar>
              <w:top w:w="60" w:type="dxa"/>
              <w:left w:w="100" w:type="dxa"/>
              <w:bottom w:w="60" w:type="dxa"/>
              <w:right w:w="100" w:type="dxa"/>
            </w:tcMar>
            <w:vAlign w:val="center"/>
          </w:tcPr>
          <w:p w14:paraId="1172AD89" w14:textId="77777777" w:rsidR="00C51332" w:rsidRPr="00D23AF2" w:rsidRDefault="00000000" w:rsidP="00D23AF2">
            <w:pPr>
              <w:spacing w:line="480" w:lineRule="auto"/>
              <w:jc w:val="center"/>
              <w:rPr>
                <w:rFonts w:cs="Times New Roman"/>
              </w:rPr>
            </w:pPr>
            <w:r>
              <w:rPr>
                <w:rFonts w:cs="Times New Roman"/>
              </w:rPr>
              <w:t>1.2%</w:t>
            </w:r>
          </w:p>
        </w:tc>
        <w:tc>
          <w:tcPr>
            <w:tcW w:w="3000" w:type="dxa"/>
            <w:tcMar>
              <w:top w:w="60" w:type="dxa"/>
              <w:left w:w="100" w:type="dxa"/>
              <w:bottom w:w="60" w:type="dxa"/>
              <w:right w:w="100" w:type="dxa"/>
            </w:tcMar>
            <w:vAlign w:val="center"/>
          </w:tcPr>
          <w:p w14:paraId="77781152" w14:textId="77777777" w:rsidR="00C51332" w:rsidRPr="00D23AF2" w:rsidRDefault="00000000" w:rsidP="00D23AF2">
            <w:pPr>
              <w:spacing w:line="480" w:lineRule="auto"/>
              <w:jc w:val="center"/>
              <w:rPr>
                <w:rFonts w:cs="Times New Roman"/>
              </w:rPr>
            </w:pPr>
            <w:r>
              <w:rPr>
                <w:rFonts w:cs="Times New Roman"/>
              </w:rPr>
              <w:t>0.6%</w:t>
            </w:r>
          </w:p>
        </w:tc>
      </w:tr>
      <w:tr w:rsidR="00A03EA4" w14:paraId="774FAF70" w14:textId="77777777">
        <w:tc>
          <w:tcPr>
            <w:tcW w:w="3360" w:type="dxa"/>
            <w:tcMar>
              <w:top w:w="60" w:type="dxa"/>
              <w:left w:w="100" w:type="dxa"/>
              <w:bottom w:w="60" w:type="dxa"/>
              <w:right w:w="100" w:type="dxa"/>
            </w:tcMar>
            <w:vAlign w:val="center"/>
          </w:tcPr>
          <w:p w14:paraId="5355D3AD" w14:textId="77777777" w:rsidR="00C51332" w:rsidRPr="00D23AF2" w:rsidRDefault="00000000" w:rsidP="00D23AF2">
            <w:pPr>
              <w:spacing w:line="480" w:lineRule="auto"/>
              <w:rPr>
                <w:rFonts w:cs="Times New Roman"/>
              </w:rPr>
            </w:pPr>
            <w:r>
              <w:rPr>
                <w:rFonts w:cs="Times New Roman"/>
              </w:rPr>
              <w:t>Mean household annual loss</w:t>
            </w:r>
          </w:p>
        </w:tc>
        <w:tc>
          <w:tcPr>
            <w:tcW w:w="3000" w:type="dxa"/>
            <w:tcMar>
              <w:top w:w="60" w:type="dxa"/>
              <w:left w:w="100" w:type="dxa"/>
              <w:bottom w:w="60" w:type="dxa"/>
              <w:right w:w="100" w:type="dxa"/>
            </w:tcMar>
            <w:vAlign w:val="center"/>
          </w:tcPr>
          <w:p w14:paraId="1EA680CC" w14:textId="77777777" w:rsidR="00C51332" w:rsidRPr="00D23AF2" w:rsidRDefault="00000000" w:rsidP="00D23AF2">
            <w:pPr>
              <w:spacing w:line="480" w:lineRule="auto"/>
              <w:jc w:val="center"/>
              <w:rPr>
                <w:rFonts w:cs="Times New Roman"/>
              </w:rPr>
            </w:pPr>
            <w:r>
              <w:rPr>
                <w:rFonts w:cs="Times New Roman"/>
              </w:rPr>
              <w:t>$2,400</w:t>
            </w:r>
          </w:p>
        </w:tc>
        <w:tc>
          <w:tcPr>
            <w:tcW w:w="3000" w:type="dxa"/>
            <w:tcMar>
              <w:top w:w="60" w:type="dxa"/>
              <w:left w:w="100" w:type="dxa"/>
              <w:bottom w:w="60" w:type="dxa"/>
              <w:right w:w="100" w:type="dxa"/>
            </w:tcMar>
            <w:vAlign w:val="center"/>
          </w:tcPr>
          <w:p w14:paraId="74A7C9A1" w14:textId="77777777" w:rsidR="00C51332" w:rsidRPr="00D23AF2" w:rsidRDefault="00000000" w:rsidP="00D23AF2">
            <w:pPr>
              <w:spacing w:line="480" w:lineRule="auto"/>
              <w:jc w:val="center"/>
              <w:rPr>
                <w:rFonts w:cs="Times New Roman"/>
              </w:rPr>
            </w:pPr>
            <w:r>
              <w:rPr>
                <w:rFonts w:cs="Times New Roman"/>
              </w:rPr>
              <w:t>$800</w:t>
            </w:r>
          </w:p>
        </w:tc>
      </w:tr>
      <w:tr w:rsidR="00A03EA4" w14:paraId="72549881" w14:textId="77777777">
        <w:tc>
          <w:tcPr>
            <w:tcW w:w="3360" w:type="dxa"/>
            <w:tcMar>
              <w:top w:w="60" w:type="dxa"/>
              <w:left w:w="100" w:type="dxa"/>
              <w:bottom w:w="60" w:type="dxa"/>
              <w:right w:w="100" w:type="dxa"/>
            </w:tcMar>
            <w:vAlign w:val="center"/>
          </w:tcPr>
          <w:p w14:paraId="6632C3BE" w14:textId="77777777" w:rsidR="00C51332" w:rsidRPr="00D23AF2" w:rsidRDefault="00000000" w:rsidP="00D23AF2">
            <w:pPr>
              <w:spacing w:line="480" w:lineRule="auto"/>
              <w:rPr>
                <w:rFonts w:cs="Times New Roman"/>
              </w:rPr>
            </w:pPr>
            <w:r>
              <w:rPr>
                <w:rFonts w:cs="Times New Roman"/>
              </w:rPr>
              <w:t>Bottom quintile (Q1) annual loss</w:t>
            </w:r>
          </w:p>
        </w:tc>
        <w:tc>
          <w:tcPr>
            <w:tcW w:w="3000" w:type="dxa"/>
            <w:tcMar>
              <w:top w:w="60" w:type="dxa"/>
              <w:left w:w="100" w:type="dxa"/>
              <w:bottom w:w="60" w:type="dxa"/>
              <w:right w:w="100" w:type="dxa"/>
            </w:tcMar>
            <w:vAlign w:val="center"/>
          </w:tcPr>
          <w:p w14:paraId="448C327B" w14:textId="77777777" w:rsidR="00C51332" w:rsidRPr="00D23AF2" w:rsidRDefault="00000000" w:rsidP="00D23AF2">
            <w:pPr>
              <w:spacing w:line="480" w:lineRule="auto"/>
              <w:jc w:val="center"/>
              <w:rPr>
                <w:rFonts w:cs="Times New Roman"/>
              </w:rPr>
            </w:pPr>
            <w:r>
              <w:rPr>
                <w:rFonts w:cs="Times New Roman"/>
              </w:rPr>
              <w:t>$1,300 (7.6% of income)</w:t>
            </w:r>
          </w:p>
        </w:tc>
        <w:tc>
          <w:tcPr>
            <w:tcW w:w="3000" w:type="dxa"/>
            <w:tcMar>
              <w:top w:w="60" w:type="dxa"/>
              <w:left w:w="100" w:type="dxa"/>
              <w:bottom w:w="60" w:type="dxa"/>
              <w:right w:w="100" w:type="dxa"/>
            </w:tcMar>
            <w:vAlign w:val="center"/>
          </w:tcPr>
          <w:p w14:paraId="51796615" w14:textId="77777777" w:rsidR="00C51332" w:rsidRPr="00D23AF2" w:rsidRDefault="00000000" w:rsidP="00D23AF2">
            <w:pPr>
              <w:spacing w:line="480" w:lineRule="auto"/>
              <w:jc w:val="center"/>
              <w:rPr>
                <w:rFonts w:cs="Times New Roman"/>
              </w:rPr>
            </w:pPr>
            <w:r>
              <w:rPr>
                <w:rFonts w:cs="Times New Roman"/>
              </w:rPr>
              <w:t>$400 (2.4% of income)</w:t>
            </w:r>
          </w:p>
        </w:tc>
      </w:tr>
      <w:tr w:rsidR="00A03EA4" w14:paraId="628E3CAA" w14:textId="77777777">
        <w:tc>
          <w:tcPr>
            <w:tcW w:w="3360" w:type="dxa"/>
            <w:tcMar>
              <w:top w:w="60" w:type="dxa"/>
              <w:left w:w="100" w:type="dxa"/>
              <w:bottom w:w="60" w:type="dxa"/>
              <w:right w:w="100" w:type="dxa"/>
            </w:tcMar>
            <w:vAlign w:val="center"/>
          </w:tcPr>
          <w:p w14:paraId="060DBC3D" w14:textId="77777777" w:rsidR="00C51332" w:rsidRPr="00D23AF2" w:rsidRDefault="00000000" w:rsidP="00D23AF2">
            <w:pPr>
              <w:spacing w:line="480" w:lineRule="auto"/>
              <w:rPr>
                <w:rFonts w:cs="Times New Roman"/>
              </w:rPr>
            </w:pPr>
            <w:r>
              <w:rPr>
                <w:rFonts w:cs="Times New Roman"/>
              </w:rPr>
              <w:t>Top quintile (Q5) annual loss</w:t>
            </w:r>
          </w:p>
        </w:tc>
        <w:tc>
          <w:tcPr>
            <w:tcW w:w="3000" w:type="dxa"/>
            <w:tcMar>
              <w:top w:w="60" w:type="dxa"/>
              <w:left w:w="100" w:type="dxa"/>
              <w:bottom w:w="60" w:type="dxa"/>
              <w:right w:w="100" w:type="dxa"/>
            </w:tcMar>
            <w:vAlign w:val="center"/>
          </w:tcPr>
          <w:p w14:paraId="57FB268F" w14:textId="77777777" w:rsidR="00C51332" w:rsidRPr="00D23AF2" w:rsidRDefault="00000000" w:rsidP="00D23AF2">
            <w:pPr>
              <w:spacing w:line="480" w:lineRule="auto"/>
              <w:jc w:val="center"/>
              <w:rPr>
                <w:rFonts w:cs="Times New Roman"/>
              </w:rPr>
            </w:pPr>
            <w:r>
              <w:rPr>
                <w:rFonts w:cs="Times New Roman"/>
              </w:rPr>
              <w:t>$4,550 (1.3% of income)</w:t>
            </w:r>
          </w:p>
        </w:tc>
        <w:tc>
          <w:tcPr>
            <w:tcW w:w="3000" w:type="dxa"/>
            <w:tcMar>
              <w:top w:w="60" w:type="dxa"/>
              <w:left w:w="100" w:type="dxa"/>
              <w:bottom w:w="60" w:type="dxa"/>
              <w:right w:w="100" w:type="dxa"/>
            </w:tcMar>
            <w:vAlign w:val="center"/>
          </w:tcPr>
          <w:p w14:paraId="590310D7" w14:textId="77777777" w:rsidR="00C51332" w:rsidRPr="00D23AF2" w:rsidRDefault="00000000" w:rsidP="00D23AF2">
            <w:pPr>
              <w:spacing w:line="480" w:lineRule="auto"/>
              <w:jc w:val="center"/>
              <w:rPr>
                <w:rFonts w:cs="Times New Roman"/>
              </w:rPr>
            </w:pPr>
            <w:r>
              <w:rPr>
                <w:rFonts w:cs="Times New Roman"/>
              </w:rPr>
              <w:t>$1,729 (0.7% of income)</w:t>
            </w:r>
          </w:p>
        </w:tc>
      </w:tr>
      <w:tr w:rsidR="00A03EA4" w14:paraId="55152BCF" w14:textId="77777777">
        <w:tc>
          <w:tcPr>
            <w:tcW w:w="3360" w:type="dxa"/>
            <w:tcMar>
              <w:top w:w="60" w:type="dxa"/>
              <w:left w:w="100" w:type="dxa"/>
              <w:bottom w:w="60" w:type="dxa"/>
              <w:right w:w="100" w:type="dxa"/>
            </w:tcMar>
            <w:vAlign w:val="center"/>
          </w:tcPr>
          <w:p w14:paraId="45E57DB1" w14:textId="77777777" w:rsidR="00C51332" w:rsidRPr="00D23AF2" w:rsidRDefault="00000000" w:rsidP="00D23AF2">
            <w:pPr>
              <w:spacing w:line="480" w:lineRule="auto"/>
              <w:rPr>
                <w:rFonts w:cs="Times New Roman"/>
              </w:rPr>
            </w:pPr>
            <w:r>
              <w:rPr>
                <w:rFonts w:cs="Times New Roman"/>
              </w:rPr>
              <w:t>Q1/Q5 income burden ratio</w:t>
            </w:r>
          </w:p>
        </w:tc>
        <w:tc>
          <w:tcPr>
            <w:tcW w:w="3000" w:type="dxa"/>
            <w:tcMar>
              <w:top w:w="60" w:type="dxa"/>
              <w:left w:w="100" w:type="dxa"/>
              <w:bottom w:w="60" w:type="dxa"/>
              <w:right w:w="100" w:type="dxa"/>
            </w:tcMar>
            <w:vAlign w:val="center"/>
          </w:tcPr>
          <w:p w14:paraId="1013CB2B" w14:textId="77777777" w:rsidR="00C51332" w:rsidRPr="00D23AF2" w:rsidRDefault="00000000" w:rsidP="00D23AF2">
            <w:pPr>
              <w:spacing w:line="480" w:lineRule="auto"/>
              <w:jc w:val="center"/>
              <w:rPr>
                <w:rFonts w:cs="Times New Roman"/>
              </w:rPr>
            </w:pPr>
            <w:r>
              <w:rPr>
                <w:rFonts w:cs="Times New Roman"/>
              </w:rPr>
              <w:t>5.8× (highly regressive)</w:t>
            </w:r>
          </w:p>
        </w:tc>
        <w:tc>
          <w:tcPr>
            <w:tcW w:w="3000" w:type="dxa"/>
            <w:tcMar>
              <w:top w:w="60" w:type="dxa"/>
              <w:left w:w="100" w:type="dxa"/>
              <w:bottom w:w="60" w:type="dxa"/>
              <w:right w:w="100" w:type="dxa"/>
            </w:tcMar>
            <w:vAlign w:val="center"/>
          </w:tcPr>
          <w:p w14:paraId="6265D842" w14:textId="77777777" w:rsidR="00C51332" w:rsidRPr="00D23AF2" w:rsidRDefault="00000000" w:rsidP="00D23AF2">
            <w:pPr>
              <w:spacing w:line="480" w:lineRule="auto"/>
              <w:jc w:val="center"/>
              <w:rPr>
                <w:rFonts w:cs="Times New Roman"/>
              </w:rPr>
            </w:pPr>
            <w:r>
              <w:rPr>
                <w:rFonts w:cs="Times New Roman"/>
              </w:rPr>
              <w:t>3.4× (moderately regressive)</w:t>
            </w:r>
          </w:p>
        </w:tc>
      </w:tr>
      <w:tr w:rsidR="00A03EA4" w14:paraId="7F1A46F3" w14:textId="77777777">
        <w:tc>
          <w:tcPr>
            <w:tcW w:w="3360" w:type="dxa"/>
            <w:tcMar>
              <w:top w:w="60" w:type="dxa"/>
              <w:left w:w="100" w:type="dxa"/>
              <w:bottom w:w="60" w:type="dxa"/>
              <w:right w:w="100" w:type="dxa"/>
            </w:tcMar>
            <w:vAlign w:val="center"/>
          </w:tcPr>
          <w:p w14:paraId="6D6CBEC7" w14:textId="77777777" w:rsidR="00C51332" w:rsidRPr="00D23AF2" w:rsidRDefault="00000000" w:rsidP="00D23AF2">
            <w:pPr>
              <w:spacing w:line="480" w:lineRule="auto"/>
              <w:rPr>
                <w:rFonts w:cs="Times New Roman"/>
              </w:rPr>
            </w:pPr>
            <w:r>
              <w:rPr>
                <w:rFonts w:cs="Times New Roman"/>
              </w:rPr>
              <w:t>Goods most affected</w:t>
            </w:r>
          </w:p>
        </w:tc>
        <w:tc>
          <w:tcPr>
            <w:tcW w:w="3000" w:type="dxa"/>
            <w:tcMar>
              <w:top w:w="60" w:type="dxa"/>
              <w:left w:w="100" w:type="dxa"/>
              <w:bottom w:w="60" w:type="dxa"/>
              <w:right w:w="100" w:type="dxa"/>
            </w:tcMar>
            <w:vAlign w:val="center"/>
          </w:tcPr>
          <w:p w14:paraId="7FDFB81F" w14:textId="215306BB" w:rsidR="00C51332" w:rsidRPr="00D23AF2" w:rsidRDefault="00000000" w:rsidP="00D23AF2">
            <w:pPr>
              <w:spacing w:line="480" w:lineRule="auto"/>
              <w:jc w:val="center"/>
              <w:rPr>
                <w:rFonts w:cs="Times New Roman"/>
              </w:rPr>
            </w:pPr>
            <w:r>
              <w:rPr>
                <w:rFonts w:cs="Times New Roman"/>
              </w:rPr>
              <w:t>Apparel (32.6%), footwear (25.0%), food (12.8%)</w:t>
            </w:r>
            <w:r w:rsidR="0026085F">
              <w:rPr>
                <w:rFonts w:cs="Times New Roman"/>
              </w:rPr>
              <w:t xml:space="preserve"> </w:t>
            </w:r>
            <w:r>
              <w:rPr>
                <w:rFonts w:cs="Times New Roman"/>
              </w:rPr>
              <w:t>necessity goods</w:t>
            </w:r>
          </w:p>
        </w:tc>
        <w:tc>
          <w:tcPr>
            <w:tcW w:w="3000" w:type="dxa"/>
            <w:tcMar>
              <w:top w:w="60" w:type="dxa"/>
              <w:left w:w="100" w:type="dxa"/>
              <w:bottom w:w="60" w:type="dxa"/>
              <w:right w:w="100" w:type="dxa"/>
            </w:tcMar>
            <w:vAlign w:val="center"/>
          </w:tcPr>
          <w:p w14:paraId="44A789C1" w14:textId="38786363" w:rsidR="00C51332" w:rsidRPr="00D23AF2" w:rsidRDefault="00000000" w:rsidP="00D23AF2">
            <w:pPr>
              <w:spacing w:line="480" w:lineRule="auto"/>
              <w:jc w:val="center"/>
              <w:rPr>
                <w:rFonts w:cs="Times New Roman"/>
              </w:rPr>
            </w:pPr>
            <w:r>
              <w:rPr>
                <w:rFonts w:cs="Times New Roman"/>
              </w:rPr>
              <w:t>Metals, vehicles, electronics</w:t>
            </w:r>
            <w:r w:rsidR="0026085F">
              <w:rPr>
                <w:rFonts w:cs="Times New Roman"/>
              </w:rPr>
              <w:t xml:space="preserve"> </w:t>
            </w:r>
            <w:r>
              <w:rPr>
                <w:rFonts w:cs="Times New Roman"/>
              </w:rPr>
              <w:t>discretionary goods</w:t>
            </w:r>
          </w:p>
        </w:tc>
      </w:tr>
      <w:tr w:rsidR="00A03EA4" w14:paraId="3D099943" w14:textId="77777777">
        <w:tc>
          <w:tcPr>
            <w:tcW w:w="3360" w:type="dxa"/>
            <w:tcMar>
              <w:top w:w="60" w:type="dxa"/>
              <w:left w:w="100" w:type="dxa"/>
              <w:bottom w:w="60" w:type="dxa"/>
              <w:right w:w="100" w:type="dxa"/>
            </w:tcMar>
            <w:vAlign w:val="center"/>
          </w:tcPr>
          <w:p w14:paraId="78DEA03E" w14:textId="77777777" w:rsidR="00C51332" w:rsidRPr="00D23AF2" w:rsidRDefault="00000000" w:rsidP="00D23AF2">
            <w:pPr>
              <w:spacing w:line="480" w:lineRule="auto"/>
              <w:rPr>
                <w:rFonts w:cs="Times New Roman"/>
              </w:rPr>
            </w:pPr>
            <w:r>
              <w:rPr>
                <w:rFonts w:cs="Times New Roman"/>
              </w:rPr>
              <w:t>DiD coefficient β₃ (necessity goods)</w:t>
            </w:r>
          </w:p>
        </w:tc>
        <w:tc>
          <w:tcPr>
            <w:tcW w:w="3000" w:type="dxa"/>
            <w:tcMar>
              <w:top w:w="60" w:type="dxa"/>
              <w:left w:w="100" w:type="dxa"/>
              <w:bottom w:w="60" w:type="dxa"/>
              <w:right w:w="100" w:type="dxa"/>
            </w:tcMar>
            <w:vAlign w:val="center"/>
          </w:tcPr>
          <w:p w14:paraId="0FB67212" w14:textId="77777777" w:rsidR="00C51332" w:rsidRPr="00D23AF2" w:rsidRDefault="00000000" w:rsidP="00D23AF2">
            <w:pPr>
              <w:spacing w:line="480" w:lineRule="auto"/>
              <w:jc w:val="center"/>
              <w:rPr>
                <w:rFonts w:cs="Times New Roman"/>
              </w:rPr>
            </w:pPr>
            <w:r>
              <w:rPr>
                <w:rFonts w:cs="Times New Roman"/>
              </w:rPr>
              <w:t>—</w:t>
            </w:r>
          </w:p>
        </w:tc>
        <w:tc>
          <w:tcPr>
            <w:tcW w:w="3000" w:type="dxa"/>
            <w:tcMar>
              <w:top w:w="60" w:type="dxa"/>
              <w:left w:w="100" w:type="dxa"/>
              <w:bottom w:w="60" w:type="dxa"/>
              <w:right w:w="100" w:type="dxa"/>
            </w:tcMar>
            <w:vAlign w:val="center"/>
          </w:tcPr>
          <w:p w14:paraId="6542E6A4" w14:textId="2A67499F" w:rsidR="00C51332" w:rsidRPr="00D23AF2" w:rsidRDefault="00000000" w:rsidP="00D23AF2">
            <w:pPr>
              <w:spacing w:line="480" w:lineRule="auto"/>
              <w:jc w:val="center"/>
              <w:rPr>
                <w:rFonts w:cs="Times New Roman"/>
              </w:rPr>
            </w:pPr>
            <w:r>
              <w:rPr>
                <w:rFonts w:cs="Times New Roman"/>
              </w:rPr>
              <w:t>0.029 (SE = 0.009)</w:t>
            </w:r>
          </w:p>
        </w:tc>
      </w:tr>
    </w:tbl>
    <w:p w14:paraId="08E9BF00" w14:textId="77777777" w:rsidR="00C51332" w:rsidRPr="00D23AF2" w:rsidRDefault="00000000" w:rsidP="00D23AF2">
      <w:pPr>
        <w:spacing w:before="60" w:after="60" w:line="480" w:lineRule="auto"/>
        <w:rPr>
          <w:rFonts w:cs="Times New Roman"/>
        </w:rPr>
      </w:pPr>
      <w:r w:rsidRPr="00750ABF">
        <w:rPr>
          <w:rFonts w:cs="Times New Roman"/>
        </w:rPr>
        <w:t>Source: Yale Budget Lab Tariff Incidence Model (2025a); BLS CPI Microdata (2025); Author DiD calculations</w:t>
      </w:r>
      <w:r>
        <w:rPr>
          <w:rFonts w:cs="Times New Roman"/>
          <w:i/>
          <w:iCs/>
        </w:rPr>
        <w:t>.</w:t>
      </w:r>
    </w:p>
    <w:p w14:paraId="0A5108EB" w14:textId="77777777" w:rsidR="00C51332" w:rsidRPr="00D23AF2" w:rsidRDefault="00C51332" w:rsidP="00D23AF2">
      <w:pPr>
        <w:spacing w:before="80" w:line="480" w:lineRule="auto"/>
        <w:rPr>
          <w:rFonts w:cs="Times New Roman"/>
        </w:rPr>
      </w:pPr>
    </w:p>
    <w:p w14:paraId="61CFCF66" w14:textId="77777777" w:rsidR="00C51332" w:rsidRPr="00D23AF2" w:rsidRDefault="00000000" w:rsidP="00D23AF2">
      <w:pPr>
        <w:spacing w:before="240" w:after="120" w:line="480" w:lineRule="auto"/>
        <w:rPr>
          <w:rFonts w:cs="Times New Roman"/>
        </w:rPr>
      </w:pPr>
      <w:r>
        <w:rPr>
          <w:rFonts w:cs="Times New Roman"/>
          <w:b/>
          <w:bCs/>
        </w:rPr>
        <w:t>6.  CONCLUSION</w:t>
      </w:r>
    </w:p>
    <w:p w14:paraId="7C546673" w14:textId="7A891BFA" w:rsidR="00C51332" w:rsidRPr="00D23AF2" w:rsidRDefault="00000000" w:rsidP="00D23AF2">
      <w:pPr>
        <w:spacing w:before="100" w:after="80" w:line="480" w:lineRule="auto"/>
        <w:rPr>
          <w:rFonts w:cs="Times New Roman"/>
        </w:rPr>
      </w:pPr>
      <w:r>
        <w:rPr>
          <w:rFonts w:cs="Times New Roman"/>
        </w:rPr>
        <w:t>This paper quantifies the distributional impact of the 2025 United States IEEPA tariff regime and identifies the expenditure channel as the primary mechanism generating regressivity. Under full IEEPA authority, the bottom income quintile sustained welfare losses equal to 7.6 percent of annual income compared with 1.3 percent for the top quintile</w:t>
      </w:r>
      <w:r w:rsidR="00750ABF">
        <w:rPr>
          <w:rFonts w:cs="Times New Roman"/>
        </w:rPr>
        <w:t xml:space="preserve"> </w:t>
      </w:r>
      <w:r>
        <w:rPr>
          <w:rFonts w:cs="Times New Roman"/>
        </w:rPr>
        <w:t>a 5.8</w:t>
      </w:r>
      <w:r w:rsidR="00750ABF">
        <w:rPr>
          <w:rFonts w:cs="Times New Roman"/>
        </w:rPr>
        <w:t xml:space="preserve"> </w:t>
      </w:r>
      <w:r>
        <w:rPr>
          <w:rFonts w:cs="Times New Roman"/>
        </w:rPr>
        <w:t>fold gradient that confirms broad tariffs on necessity goods function as regressive consumption taxes.</w:t>
      </w:r>
    </w:p>
    <w:p w14:paraId="4CEB4748" w14:textId="6F330E75" w:rsidR="00C51332" w:rsidRPr="00D23AF2" w:rsidRDefault="00000000" w:rsidP="00D23AF2">
      <w:pPr>
        <w:spacing w:before="100" w:after="80" w:line="480" w:lineRule="auto"/>
        <w:rPr>
          <w:rFonts w:cs="Times New Roman"/>
        </w:rPr>
      </w:pPr>
      <w:r>
        <w:rPr>
          <w:rFonts w:cs="Times New Roman"/>
        </w:rPr>
        <w:lastRenderedPageBreak/>
        <w:t xml:space="preserve">Exploiting the Supreme Court’s May 28, 2025 invalidation of IEEPA authority as a natural policy experiment, our </w:t>
      </w:r>
      <w:r w:rsidR="0026085F">
        <w:rPr>
          <w:rFonts w:cs="Times New Roman"/>
        </w:rPr>
        <w:t>difference indifferences</w:t>
      </w:r>
      <w:r>
        <w:rPr>
          <w:rFonts w:cs="Times New Roman"/>
        </w:rPr>
        <w:t xml:space="preserve"> framework identifies a causal price effect of </w:t>
      </w:r>
      <w:r w:rsidR="00750ABF">
        <w:rPr>
          <w:rFonts w:cs="Times New Roman"/>
        </w:rPr>
        <w:t xml:space="preserve"> </w:t>
      </w:r>
      <w:r>
        <w:rPr>
          <w:rFonts w:cs="Times New Roman"/>
        </w:rPr>
        <w:t xml:space="preserve">0.029 (p &lt; 0.01) in necessity goods categories, concentrated precisely in the </w:t>
      </w:r>
      <w:r w:rsidR="0026085F">
        <w:rPr>
          <w:rFonts w:cs="Times New Roman"/>
        </w:rPr>
        <w:t>tariff exposed</w:t>
      </w:r>
      <w:r>
        <w:rPr>
          <w:rFonts w:cs="Times New Roman"/>
        </w:rPr>
        <w:t xml:space="preserve"> goods that constitute the largest share of </w:t>
      </w:r>
      <w:r w:rsidR="0026085F">
        <w:rPr>
          <w:rFonts w:cs="Times New Roman"/>
        </w:rPr>
        <w:t>low income</w:t>
      </w:r>
      <w:r>
        <w:rPr>
          <w:rFonts w:cs="Times New Roman"/>
        </w:rPr>
        <w:t xml:space="preserve"> consumption budgets. The compositional shift in the </w:t>
      </w:r>
      <w:r w:rsidR="0026085F">
        <w:rPr>
          <w:rFonts w:cs="Times New Roman"/>
        </w:rPr>
        <w:t>post ruling</w:t>
      </w:r>
      <w:r>
        <w:rPr>
          <w:rFonts w:cs="Times New Roman"/>
        </w:rPr>
        <w:t xml:space="preserve"> tariff basket</w:t>
      </w:r>
      <w:r w:rsidR="00750ABF">
        <w:rPr>
          <w:rFonts w:cs="Times New Roman"/>
        </w:rPr>
        <w:t xml:space="preserve"> </w:t>
      </w:r>
      <w:r>
        <w:rPr>
          <w:rFonts w:cs="Times New Roman"/>
        </w:rPr>
        <w:t xml:space="preserve">from necessity goods to </w:t>
      </w:r>
      <w:r w:rsidR="0026085F">
        <w:rPr>
          <w:rFonts w:cs="Times New Roman"/>
        </w:rPr>
        <w:t>capital intensive</w:t>
      </w:r>
      <w:r>
        <w:rPr>
          <w:rFonts w:cs="Times New Roman"/>
        </w:rPr>
        <w:t xml:space="preserve"> sectors</w:t>
      </w:r>
      <w:r w:rsidR="00750ABF">
        <w:rPr>
          <w:rFonts w:cs="Times New Roman"/>
        </w:rPr>
        <w:t xml:space="preserve"> </w:t>
      </w:r>
      <w:r>
        <w:rPr>
          <w:rFonts w:cs="Times New Roman"/>
        </w:rPr>
        <w:t>compressed the distributional gradient from 5.8</w:t>
      </w:r>
      <w:r w:rsidR="00750ABF">
        <w:rPr>
          <w:rFonts w:cs="Times New Roman"/>
        </w:rPr>
        <w:t xml:space="preserve"> </w:t>
      </w:r>
      <w:r>
        <w:rPr>
          <w:rFonts w:cs="Times New Roman"/>
        </w:rPr>
        <w:t>fold to 3.4</w:t>
      </w:r>
      <w:r w:rsidR="00750ABF">
        <w:rPr>
          <w:rFonts w:cs="Times New Roman"/>
        </w:rPr>
        <w:t xml:space="preserve"> </w:t>
      </w:r>
      <w:r>
        <w:rPr>
          <w:rFonts w:cs="Times New Roman"/>
        </w:rPr>
        <w:t>fold, with the largest proportional loss reduction (69 percent) at the bottom quintile and smallest 62 percent</w:t>
      </w:r>
      <w:r w:rsidR="00750ABF">
        <w:rPr>
          <w:rFonts w:cs="Times New Roman"/>
        </w:rPr>
        <w:t xml:space="preserve"> </w:t>
      </w:r>
      <w:r>
        <w:rPr>
          <w:rFonts w:cs="Times New Roman"/>
        </w:rPr>
        <w:t>at the top.</w:t>
      </w:r>
    </w:p>
    <w:p w14:paraId="791A7895" w14:textId="2DEE85BE" w:rsidR="00C51332" w:rsidRPr="00D23AF2" w:rsidRDefault="00000000" w:rsidP="00D23AF2">
      <w:pPr>
        <w:spacing w:before="100" w:after="80" w:line="480" w:lineRule="auto"/>
        <w:rPr>
          <w:rFonts w:cs="Times New Roman"/>
        </w:rPr>
      </w:pPr>
      <w:r>
        <w:rPr>
          <w:rFonts w:cs="Times New Roman"/>
        </w:rPr>
        <w:t xml:space="preserve">Three policy implications follow. First, broad tariff regimes should be accompanied by distributional impact assessments that disaggregate across income quintiles, as aggregate welfare figures systematically obscure the regressive structure. Second, if tariff revenues are retained, targeted transfers to </w:t>
      </w:r>
      <w:r w:rsidR="0026085F">
        <w:rPr>
          <w:rFonts w:cs="Times New Roman"/>
        </w:rPr>
        <w:t>low income</w:t>
      </w:r>
      <w:r>
        <w:rPr>
          <w:rFonts w:cs="Times New Roman"/>
        </w:rPr>
        <w:t xml:space="preserve"> households</w:t>
      </w:r>
      <w:r w:rsidR="00750ABF">
        <w:rPr>
          <w:rFonts w:cs="Times New Roman"/>
        </w:rPr>
        <w:t xml:space="preserve"> </w:t>
      </w:r>
      <w:r>
        <w:rPr>
          <w:rFonts w:cs="Times New Roman"/>
        </w:rPr>
        <w:t>particularly through refundable tax credits or direct cash transfers calibrated to tariff exposure in necessity categories</w:t>
      </w:r>
      <w:r w:rsidR="00750ABF">
        <w:rPr>
          <w:rFonts w:cs="Times New Roman"/>
        </w:rPr>
        <w:t xml:space="preserve"> </w:t>
      </w:r>
      <w:r>
        <w:rPr>
          <w:rFonts w:cs="Times New Roman"/>
        </w:rPr>
        <w:t xml:space="preserve">can offset the regressive incidence without requiring tariff removal. Third, tariff design itself matters: concentrating duties on </w:t>
      </w:r>
      <w:r w:rsidR="0026085F">
        <w:rPr>
          <w:rFonts w:cs="Times New Roman"/>
        </w:rPr>
        <w:t>capital intensive</w:t>
      </w:r>
      <w:r>
        <w:rPr>
          <w:rFonts w:cs="Times New Roman"/>
        </w:rPr>
        <w:t xml:space="preserve">, </w:t>
      </w:r>
      <w:r w:rsidR="0026085F">
        <w:rPr>
          <w:rFonts w:cs="Times New Roman"/>
        </w:rPr>
        <w:t>high elasticity</w:t>
      </w:r>
      <w:r>
        <w:rPr>
          <w:rFonts w:cs="Times New Roman"/>
        </w:rPr>
        <w:t xml:space="preserve"> goods rather than necessity categories substantially reduces distributional harm, as the </w:t>
      </w:r>
      <w:r w:rsidR="0026085F">
        <w:rPr>
          <w:rFonts w:cs="Times New Roman"/>
        </w:rPr>
        <w:t>post SCOTUS</w:t>
      </w:r>
      <w:r>
        <w:rPr>
          <w:rFonts w:cs="Times New Roman"/>
        </w:rPr>
        <w:t xml:space="preserve"> equilibrium illustrates.</w:t>
      </w:r>
    </w:p>
    <w:p w14:paraId="0790EDC2" w14:textId="77777777" w:rsidR="00C51332" w:rsidRPr="00D23AF2" w:rsidRDefault="00000000" w:rsidP="00D23AF2">
      <w:pPr>
        <w:spacing w:before="100" w:after="80" w:line="480" w:lineRule="auto"/>
        <w:rPr>
          <w:rFonts w:cs="Times New Roman"/>
        </w:rPr>
      </w:pPr>
      <w:r>
        <w:rPr>
          <w:rFonts w:cs="Times New Roman"/>
        </w:rPr>
        <w:t>Limitations include the maintained assumption of complete passthrough, which may overstate incidence if retailers absorb some tariff costs through margin compression. Future work should estimate heterogeneous passthrough rates by product category and retail channel, and extend the DiD framework to hourly wage outcomes to capture the labor income channel alongside the consumption channel.</w:t>
      </w:r>
    </w:p>
    <w:p w14:paraId="5DFDE818" w14:textId="77777777" w:rsidR="00C51332" w:rsidRPr="00D23AF2" w:rsidRDefault="00C51332" w:rsidP="00D23AF2">
      <w:pPr>
        <w:spacing w:before="120" w:line="480" w:lineRule="auto"/>
        <w:rPr>
          <w:rFonts w:cs="Times New Roman"/>
        </w:rPr>
      </w:pPr>
    </w:p>
    <w:p w14:paraId="70BDB888" w14:textId="77777777" w:rsidR="00C51332" w:rsidRPr="00D23AF2" w:rsidRDefault="00000000" w:rsidP="00D23AF2">
      <w:pPr>
        <w:spacing w:after="120" w:line="480" w:lineRule="auto"/>
        <w:rPr>
          <w:rFonts w:cs="Times New Roman"/>
        </w:rPr>
      </w:pPr>
      <w:r>
        <w:rPr>
          <w:rFonts w:cs="Times New Roman"/>
          <w:b/>
          <w:bCs/>
        </w:rPr>
        <w:t>REFERENCES</w:t>
      </w:r>
    </w:p>
    <w:p w14:paraId="395D351D" w14:textId="77777777" w:rsidR="00C51332" w:rsidRPr="00750ABF" w:rsidRDefault="00000000" w:rsidP="00D23AF2">
      <w:pPr>
        <w:spacing w:before="60" w:after="60" w:line="480" w:lineRule="auto"/>
        <w:ind w:left="720" w:hanging="720"/>
        <w:rPr>
          <w:rFonts w:cs="Times New Roman"/>
          <w:color w:val="000000" w:themeColor="text1"/>
        </w:rPr>
      </w:pPr>
      <w:r w:rsidRPr="00750ABF">
        <w:rPr>
          <w:rFonts w:cs="Times New Roman"/>
          <w:color w:val="000000" w:themeColor="text1"/>
        </w:rPr>
        <w:lastRenderedPageBreak/>
        <w:t xml:space="preserve">Amiti, M., S. J. Redding, and D. E. Weinstein. 2019. “The impact of the 2018 trade war on U.S. prices and welfare.” Journal of Economic Perspectives, 33(4), 187–210. </w:t>
      </w:r>
      <w:hyperlink r:id="rId9" w:history="1">
        <w:r w:rsidR="00C51332" w:rsidRPr="00750ABF">
          <w:rPr>
            <w:rStyle w:val="Hyperlink"/>
            <w:rFonts w:cs="Times New Roman"/>
            <w:b/>
            <w:bCs/>
            <w:color w:val="000000" w:themeColor="text1"/>
          </w:rPr>
          <w:t>https://doi.org/10.1257/jep.33.4.187</w:t>
        </w:r>
      </w:hyperlink>
    </w:p>
    <w:p w14:paraId="47CB6F2E" w14:textId="115B99D7" w:rsidR="00C51332" w:rsidRPr="00750ABF" w:rsidRDefault="00000000" w:rsidP="00D23AF2">
      <w:pPr>
        <w:spacing w:before="60" w:after="60" w:line="480" w:lineRule="auto"/>
        <w:ind w:left="720" w:hanging="720"/>
        <w:rPr>
          <w:rFonts w:cs="Times New Roman"/>
          <w:color w:val="000000" w:themeColor="text1"/>
        </w:rPr>
      </w:pPr>
      <w:r w:rsidRPr="00750ABF">
        <w:rPr>
          <w:rFonts w:cs="Times New Roman"/>
          <w:color w:val="000000" w:themeColor="text1"/>
        </w:rPr>
        <w:t xml:space="preserve">Bonaparte, T. 2025. “Tariff incidence and macroeconomic distribution: Model methodology.” Yale Budget Lab, Yale University. </w:t>
      </w:r>
      <w:hyperlink r:id="rId10" w:history="1">
        <w:r w:rsidR="00C51332" w:rsidRPr="00750ABF">
          <w:rPr>
            <w:rStyle w:val="Hyperlink"/>
            <w:rFonts w:cs="Times New Roman"/>
            <w:b/>
            <w:bCs/>
            <w:color w:val="000000" w:themeColor="text1"/>
          </w:rPr>
          <w:t>https://budgetlab.yale.edu/research/tariffincidencemethodology</w:t>
        </w:r>
      </w:hyperlink>
    </w:p>
    <w:p w14:paraId="627502CA" w14:textId="77777777" w:rsidR="00C51332" w:rsidRPr="00750ABF" w:rsidRDefault="00000000" w:rsidP="00D23AF2">
      <w:pPr>
        <w:spacing w:before="60" w:after="60" w:line="480" w:lineRule="auto"/>
        <w:ind w:left="720" w:hanging="720"/>
        <w:rPr>
          <w:rFonts w:cs="Times New Roman"/>
          <w:color w:val="000000" w:themeColor="text1"/>
        </w:rPr>
      </w:pPr>
      <w:r w:rsidRPr="00750ABF">
        <w:rPr>
          <w:rFonts w:cs="Times New Roman"/>
          <w:color w:val="000000" w:themeColor="text1"/>
        </w:rPr>
        <w:t xml:space="preserve">Carroll, D. R., and S. Hur. 2023. “On the distributional effects of international tariffs.” International Economic Review, 64(4), 1311–1346. </w:t>
      </w:r>
      <w:hyperlink r:id="rId11" w:history="1">
        <w:r w:rsidR="00C51332" w:rsidRPr="00750ABF">
          <w:rPr>
            <w:rStyle w:val="Hyperlink"/>
            <w:rFonts w:cs="Times New Roman"/>
            <w:b/>
            <w:bCs/>
            <w:color w:val="000000" w:themeColor="text1"/>
          </w:rPr>
          <w:t>https://doi.org/10.1111/iere.12630</w:t>
        </w:r>
      </w:hyperlink>
    </w:p>
    <w:p w14:paraId="3DF8D95F" w14:textId="77777777" w:rsidR="00C51332" w:rsidRPr="00750ABF" w:rsidRDefault="00000000" w:rsidP="00D23AF2">
      <w:pPr>
        <w:spacing w:before="60" w:after="60" w:line="480" w:lineRule="auto"/>
        <w:ind w:left="720" w:hanging="720"/>
        <w:rPr>
          <w:rFonts w:cs="Times New Roman"/>
          <w:color w:val="000000" w:themeColor="text1"/>
        </w:rPr>
      </w:pPr>
      <w:r w:rsidRPr="00750ABF">
        <w:rPr>
          <w:rFonts w:cs="Times New Roman"/>
          <w:color w:val="000000" w:themeColor="text1"/>
        </w:rPr>
        <w:t xml:space="preserve">Cavallo, A., G. Gopinath, B. Neiman, and J. Tang. 2021. “Tariff passthrough at the border and at the store: Evidence from US trade policy.” American Economic Review: Insights, 3(1), 19–34. </w:t>
      </w:r>
      <w:hyperlink r:id="rId12" w:history="1">
        <w:r w:rsidR="00C51332" w:rsidRPr="00750ABF">
          <w:rPr>
            <w:rStyle w:val="Hyperlink"/>
            <w:rFonts w:cs="Times New Roman"/>
            <w:b/>
            <w:bCs/>
            <w:color w:val="000000" w:themeColor="text1"/>
          </w:rPr>
          <w:t>https://doi.org/10.1257/aeri.20190536</w:t>
        </w:r>
      </w:hyperlink>
    </w:p>
    <w:p w14:paraId="0EB7F120" w14:textId="6E737AD0" w:rsidR="00C51332" w:rsidRPr="00750ABF" w:rsidRDefault="00000000" w:rsidP="00D23AF2">
      <w:pPr>
        <w:spacing w:before="60" w:after="60" w:line="480" w:lineRule="auto"/>
        <w:ind w:left="720" w:hanging="720"/>
        <w:rPr>
          <w:rFonts w:cs="Times New Roman"/>
          <w:color w:val="000000" w:themeColor="text1"/>
        </w:rPr>
      </w:pPr>
      <w:r w:rsidRPr="00750ABF">
        <w:rPr>
          <w:rFonts w:cs="Times New Roman"/>
          <w:color w:val="000000" w:themeColor="text1"/>
        </w:rPr>
        <w:t xml:space="preserve">Clausing, K., and M. Lovely. 2024. “Why Trump’s proposed tariffs would harm working Americans.” Peterson Institute for International Economics Policy Brief 241. </w:t>
      </w:r>
      <w:hyperlink r:id="rId13" w:history="1">
        <w:r w:rsidR="00C51332" w:rsidRPr="00750ABF">
          <w:rPr>
            <w:rStyle w:val="Hyperlink"/>
            <w:rFonts w:cs="Times New Roman"/>
            <w:b/>
            <w:bCs/>
            <w:color w:val="000000" w:themeColor="text1"/>
          </w:rPr>
          <w:t>https://www.piie.com/publications/policybriefs/2024/whytrumpstariffproposalswouldharmworkingamericans</w:t>
        </w:r>
      </w:hyperlink>
    </w:p>
    <w:p w14:paraId="41AA0369" w14:textId="77777777" w:rsidR="00C51332" w:rsidRPr="00750ABF" w:rsidRDefault="00000000" w:rsidP="00D23AF2">
      <w:pPr>
        <w:spacing w:before="60" w:after="60" w:line="480" w:lineRule="auto"/>
        <w:ind w:left="720" w:hanging="720"/>
        <w:rPr>
          <w:rFonts w:cs="Times New Roman"/>
          <w:color w:val="000000" w:themeColor="text1"/>
        </w:rPr>
      </w:pPr>
      <w:r w:rsidRPr="00750ABF">
        <w:rPr>
          <w:rFonts w:cs="Times New Roman"/>
          <w:color w:val="000000" w:themeColor="text1"/>
        </w:rPr>
        <w:t xml:space="preserve">Fajgelbaum, P. D., P. K. Goldberg, P. J. Kennedy, and A. K. Khandelwal. 2020. “The return to protectionism.” Quarterly Journal of Economics, 135(1), 1–55. </w:t>
      </w:r>
      <w:hyperlink r:id="rId14" w:history="1">
        <w:r w:rsidR="00C51332" w:rsidRPr="00750ABF">
          <w:rPr>
            <w:rStyle w:val="Hyperlink"/>
            <w:rFonts w:cs="Times New Roman"/>
            <w:b/>
            <w:bCs/>
            <w:color w:val="000000" w:themeColor="text1"/>
          </w:rPr>
          <w:t>https://doi.org/10.1093/qje/qjz036</w:t>
        </w:r>
      </w:hyperlink>
    </w:p>
    <w:p w14:paraId="3251A21F" w14:textId="77777777" w:rsidR="00C51332" w:rsidRPr="00750ABF" w:rsidRDefault="00000000" w:rsidP="00D23AF2">
      <w:pPr>
        <w:spacing w:before="60" w:after="60" w:line="480" w:lineRule="auto"/>
        <w:ind w:left="720" w:hanging="720"/>
        <w:rPr>
          <w:rFonts w:cs="Times New Roman"/>
          <w:color w:val="000000" w:themeColor="text1"/>
        </w:rPr>
      </w:pPr>
      <w:r w:rsidRPr="00750ABF">
        <w:rPr>
          <w:rFonts w:cs="Times New Roman"/>
          <w:color w:val="000000" w:themeColor="text1"/>
        </w:rPr>
        <w:t xml:space="preserve">Furceri, D., S. A. Hannan, J. D. Ostry, and A. K. Rose. 2019. “Macroeconomic consequences of tariffs.” IMF Working Paper No. 19/9 / NBER Working Paper No. 25402. </w:t>
      </w:r>
      <w:hyperlink r:id="rId15" w:history="1">
        <w:r w:rsidR="00C51332" w:rsidRPr="00750ABF">
          <w:rPr>
            <w:rStyle w:val="Hyperlink"/>
            <w:rFonts w:cs="Times New Roman"/>
            <w:b/>
            <w:bCs/>
            <w:color w:val="000000" w:themeColor="text1"/>
          </w:rPr>
          <w:t>https://doi.org/10.3386/w25402</w:t>
        </w:r>
      </w:hyperlink>
    </w:p>
    <w:p w14:paraId="00C543FA" w14:textId="77777777" w:rsidR="00C51332" w:rsidRPr="00D23AF2" w:rsidRDefault="00000000" w:rsidP="00D23AF2">
      <w:pPr>
        <w:spacing w:before="60" w:after="60" w:line="480" w:lineRule="auto"/>
        <w:ind w:left="720" w:hanging="720"/>
        <w:rPr>
          <w:rFonts w:cs="Times New Roman"/>
        </w:rPr>
      </w:pPr>
      <w:r>
        <w:rPr>
          <w:rFonts w:cs="Times New Roman"/>
        </w:rPr>
        <w:t>Hinz, J., A. Lohmann, H. Mahlkow, and A. Vorwig. 2026. America’s own goal: Who pays the tariffs? Kiel Policy Brief No. 201. Kiel Institute for the World Economy.</w:t>
      </w:r>
    </w:p>
    <w:p w14:paraId="2ACD7097" w14:textId="77777777" w:rsidR="00C51332" w:rsidRPr="00D23AF2" w:rsidRDefault="00000000" w:rsidP="00D23AF2">
      <w:pPr>
        <w:spacing w:before="60" w:after="60" w:line="480" w:lineRule="auto"/>
        <w:ind w:left="720" w:hanging="720"/>
        <w:rPr>
          <w:rFonts w:cs="Times New Roman"/>
        </w:rPr>
      </w:pPr>
      <w:r>
        <w:rPr>
          <w:rFonts w:cs="Times New Roman"/>
        </w:rPr>
        <w:lastRenderedPageBreak/>
        <w:t>Lakatos, C., D. Laborde, and W. Martin. 2019. “The incidence of tariffs.” Conference Paper 333060, Purdue University, Center for Global Trade Analysis.</w:t>
      </w:r>
    </w:p>
    <w:p w14:paraId="26650F20" w14:textId="77777777" w:rsidR="00C51332" w:rsidRPr="00D23AF2" w:rsidRDefault="00000000" w:rsidP="00D23AF2">
      <w:pPr>
        <w:spacing w:before="60" w:after="60" w:line="480" w:lineRule="auto"/>
        <w:ind w:left="720" w:hanging="720"/>
        <w:rPr>
          <w:rFonts w:cs="Times New Roman"/>
        </w:rPr>
      </w:pPr>
      <w:r>
        <w:rPr>
          <w:rFonts w:cs="Times New Roman"/>
        </w:rPr>
        <w:t>Mitra, D., D. D. Thomakos, and M. A. Uluşaşoğlu. 2006. “Can we measure the protection for sale?” International Economic Review, 47(2), 471–491.</w:t>
      </w:r>
    </w:p>
    <w:p w14:paraId="0E01FB6F" w14:textId="77777777" w:rsidR="00C51332" w:rsidRPr="00D23AF2" w:rsidRDefault="00000000" w:rsidP="00D23AF2">
      <w:pPr>
        <w:spacing w:before="60" w:after="60" w:line="480" w:lineRule="auto"/>
        <w:ind w:left="720" w:hanging="720"/>
        <w:rPr>
          <w:rFonts w:cs="Times New Roman"/>
        </w:rPr>
      </w:pPr>
      <w:r>
        <w:rPr>
          <w:rFonts w:cs="Times New Roman"/>
        </w:rPr>
        <w:t>Stolper, W. F., and P. A. Samuelson. 1941. “Protection and real wages.” Review of Economic Studies, 9(1), 58–73.</w:t>
      </w:r>
    </w:p>
    <w:p w14:paraId="7D178103" w14:textId="380E2E10" w:rsidR="00C51332" w:rsidRPr="00BF6C51" w:rsidRDefault="00000000" w:rsidP="00D23AF2">
      <w:pPr>
        <w:spacing w:before="60" w:after="60" w:line="480" w:lineRule="auto"/>
        <w:ind w:left="720" w:hanging="720"/>
        <w:rPr>
          <w:rFonts w:cs="Times New Roman"/>
          <w:color w:val="000000" w:themeColor="text1"/>
        </w:rPr>
      </w:pPr>
      <w:r w:rsidRPr="00BF6C51">
        <w:rPr>
          <w:rFonts w:cs="Times New Roman"/>
          <w:color w:val="000000" w:themeColor="text1"/>
        </w:rPr>
        <w:t xml:space="preserve">U.S. Bureau of Labor Statistics. 2024. Consumer Expenditure Survey: 2024 </w:t>
      </w:r>
      <w:r w:rsidR="0026085F" w:rsidRPr="00BF6C51">
        <w:rPr>
          <w:rFonts w:cs="Times New Roman"/>
          <w:color w:val="000000" w:themeColor="text1"/>
        </w:rPr>
        <w:t>cross sectional</w:t>
      </w:r>
      <w:r w:rsidRPr="00BF6C51">
        <w:rPr>
          <w:rFonts w:cs="Times New Roman"/>
          <w:color w:val="000000" w:themeColor="text1"/>
        </w:rPr>
        <w:t xml:space="preserve"> household expenditure weights. U.S. Department of Labor. </w:t>
      </w:r>
      <w:hyperlink r:id="rId16" w:history="1">
        <w:r w:rsidR="00C51332" w:rsidRPr="00BF6C51">
          <w:rPr>
            <w:rStyle w:val="Hyperlink"/>
            <w:rFonts w:cs="Times New Roman"/>
            <w:b/>
            <w:bCs/>
            <w:color w:val="000000" w:themeColor="text1"/>
          </w:rPr>
          <w:t>https://www.bls.gov/cex/</w:t>
        </w:r>
      </w:hyperlink>
    </w:p>
    <w:p w14:paraId="09BD54AE" w14:textId="77777777" w:rsidR="00C51332" w:rsidRPr="00BF6C51" w:rsidRDefault="00000000" w:rsidP="00D23AF2">
      <w:pPr>
        <w:spacing w:before="60" w:after="60" w:line="480" w:lineRule="auto"/>
        <w:ind w:left="720" w:hanging="720"/>
        <w:rPr>
          <w:rFonts w:cs="Times New Roman"/>
          <w:color w:val="000000" w:themeColor="text1"/>
        </w:rPr>
      </w:pPr>
      <w:r w:rsidRPr="00BF6C51">
        <w:rPr>
          <w:rFonts w:cs="Times New Roman"/>
          <w:color w:val="000000" w:themeColor="text1"/>
        </w:rPr>
        <w:t xml:space="preserve">U.S. Bureau of Labor Statistics. 2025. Consumer Price Index microdata: Price transmission indices. U.S. Department of Labor. </w:t>
      </w:r>
      <w:hyperlink r:id="rId17" w:history="1">
        <w:r w:rsidR="00C51332" w:rsidRPr="00BF6C51">
          <w:rPr>
            <w:rStyle w:val="Hyperlink"/>
            <w:rFonts w:cs="Times New Roman"/>
            <w:b/>
            <w:bCs/>
            <w:color w:val="000000" w:themeColor="text1"/>
          </w:rPr>
          <w:t>https://www.bls.gov/cpi/</w:t>
        </w:r>
      </w:hyperlink>
    </w:p>
    <w:p w14:paraId="3F664764" w14:textId="3E532ADD" w:rsidR="00C51332" w:rsidRPr="00BF6C51" w:rsidRDefault="00000000" w:rsidP="00D23AF2">
      <w:pPr>
        <w:spacing w:before="60" w:after="60" w:line="480" w:lineRule="auto"/>
        <w:ind w:left="720" w:hanging="720"/>
        <w:rPr>
          <w:rFonts w:cs="Times New Roman"/>
          <w:color w:val="000000" w:themeColor="text1"/>
        </w:rPr>
      </w:pPr>
      <w:r w:rsidRPr="00BF6C51">
        <w:rPr>
          <w:rFonts w:cs="Times New Roman"/>
          <w:color w:val="000000" w:themeColor="text1"/>
        </w:rPr>
        <w:t xml:space="preserve">Yale Budget Lab. 2025a. Where we stand: the fiscal, economic, and distributional effects of all U.S. tariffs enacted in 2025 through April 2. Yale University. </w:t>
      </w:r>
      <w:hyperlink r:id="rId18" w:history="1">
        <w:r w:rsidR="00C51332" w:rsidRPr="00BF6C51">
          <w:rPr>
            <w:rStyle w:val="Hyperlink"/>
            <w:rFonts w:cs="Times New Roman"/>
            <w:b/>
            <w:bCs/>
            <w:color w:val="000000" w:themeColor="text1"/>
          </w:rPr>
          <w:t>https://budgetlab.yale.edu/research/wherewestandfiscaleconomicanddistributionaleffectsallustariffsenacted2025throughapril</w:t>
        </w:r>
      </w:hyperlink>
    </w:p>
    <w:p w14:paraId="51CD994D" w14:textId="54B55DB9" w:rsidR="00C51332" w:rsidRPr="00BF6C51" w:rsidRDefault="00000000" w:rsidP="00D23AF2">
      <w:pPr>
        <w:spacing w:before="60" w:after="60" w:line="480" w:lineRule="auto"/>
        <w:ind w:left="720" w:hanging="720"/>
        <w:rPr>
          <w:rFonts w:cs="Times New Roman"/>
          <w:color w:val="000000" w:themeColor="text1"/>
        </w:rPr>
      </w:pPr>
      <w:r w:rsidRPr="00BF6C51">
        <w:rPr>
          <w:rFonts w:cs="Times New Roman"/>
          <w:color w:val="000000" w:themeColor="text1"/>
        </w:rPr>
        <w:t xml:space="preserve">Yale Budget Lab. 2025b. The fiscal, economic, and distributional effects of a 20% broad tariff. Yale University. </w:t>
      </w:r>
      <w:hyperlink r:id="rId19" w:history="1">
        <w:r w:rsidR="00C51332" w:rsidRPr="00BF6C51">
          <w:rPr>
            <w:rStyle w:val="Hyperlink"/>
            <w:rFonts w:cs="Times New Roman"/>
            <w:b/>
            <w:bCs/>
            <w:color w:val="000000" w:themeColor="text1"/>
          </w:rPr>
          <w:t>https://budgetlab.yale.edu/research/fiscaleconomicanddistributionaleffects20broadtariff</w:t>
        </w:r>
      </w:hyperlink>
    </w:p>
    <w:sectPr w:rsidR="00C51332" w:rsidRPr="00BF6C51">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F6E05"/>
    <w:multiLevelType w:val="hybridMultilevel"/>
    <w:tmpl w:val="06183B82"/>
    <w:lvl w:ilvl="0" w:tplc="4238DE64">
      <w:start w:val="1"/>
      <w:numFmt w:val="bullet"/>
      <w:lvlText w:val="●"/>
      <w:lvlJc w:val="left"/>
      <w:pPr>
        <w:ind w:left="720" w:hanging="360"/>
      </w:pPr>
    </w:lvl>
    <w:lvl w:ilvl="1" w:tplc="6240A7EE">
      <w:start w:val="1"/>
      <w:numFmt w:val="bullet"/>
      <w:lvlText w:val="○"/>
      <w:lvlJc w:val="left"/>
      <w:pPr>
        <w:ind w:left="1440" w:hanging="360"/>
      </w:pPr>
    </w:lvl>
    <w:lvl w:ilvl="2" w:tplc="CED6929C">
      <w:start w:val="1"/>
      <w:numFmt w:val="bullet"/>
      <w:lvlText w:val="■"/>
      <w:lvlJc w:val="left"/>
      <w:pPr>
        <w:ind w:left="2160" w:hanging="360"/>
      </w:pPr>
    </w:lvl>
    <w:lvl w:ilvl="3" w:tplc="18DE5424">
      <w:start w:val="1"/>
      <w:numFmt w:val="bullet"/>
      <w:lvlText w:val="●"/>
      <w:lvlJc w:val="left"/>
      <w:pPr>
        <w:ind w:left="2880" w:hanging="360"/>
      </w:pPr>
    </w:lvl>
    <w:lvl w:ilvl="4" w:tplc="57B29F54">
      <w:start w:val="1"/>
      <w:numFmt w:val="bullet"/>
      <w:lvlText w:val="○"/>
      <w:lvlJc w:val="left"/>
      <w:pPr>
        <w:ind w:left="3600" w:hanging="360"/>
      </w:pPr>
    </w:lvl>
    <w:lvl w:ilvl="5" w:tplc="C02612F0">
      <w:start w:val="1"/>
      <w:numFmt w:val="bullet"/>
      <w:lvlText w:val="■"/>
      <w:lvlJc w:val="left"/>
      <w:pPr>
        <w:ind w:left="4320" w:hanging="360"/>
      </w:pPr>
    </w:lvl>
    <w:lvl w:ilvl="6" w:tplc="ECC4D964">
      <w:start w:val="1"/>
      <w:numFmt w:val="bullet"/>
      <w:lvlText w:val="●"/>
      <w:lvlJc w:val="left"/>
      <w:pPr>
        <w:ind w:left="5040" w:hanging="360"/>
      </w:pPr>
    </w:lvl>
    <w:lvl w:ilvl="7" w:tplc="66728890">
      <w:start w:val="1"/>
      <w:numFmt w:val="bullet"/>
      <w:lvlText w:val="●"/>
      <w:lvlJc w:val="left"/>
      <w:pPr>
        <w:ind w:left="5760" w:hanging="360"/>
      </w:pPr>
    </w:lvl>
    <w:lvl w:ilvl="8" w:tplc="6BEEEF84">
      <w:start w:val="1"/>
      <w:numFmt w:val="bullet"/>
      <w:lvlText w:val="●"/>
      <w:lvlJc w:val="left"/>
      <w:pPr>
        <w:ind w:left="6480" w:hanging="360"/>
      </w:pPr>
    </w:lvl>
  </w:abstractNum>
  <w:num w:numId="1" w16cid:durableId="375861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332"/>
    <w:rsid w:val="0026085F"/>
    <w:rsid w:val="002C65E5"/>
    <w:rsid w:val="00750ABF"/>
    <w:rsid w:val="00A03EA4"/>
    <w:rsid w:val="00BF6C51"/>
    <w:rsid w:val="00C51332"/>
    <w:rsid w:val="00D23AF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C0540"/>
  <w15:docId w15:val="{C3D8CF0B-40F2-8D44-A866-4C17705B8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piie.com/publications/policy-briefs/2024/why-trumps-tariff-proposals-would-harm-working-americans" TargetMode="External"/><Relationship Id="rId18" Type="http://schemas.openxmlformats.org/officeDocument/2006/relationships/hyperlink" Target="https://budgetlab.yale.edu/research/where-we-stand-fiscal-economic-and-distributional-effects-all-us-tariffs-enacted-2025-through-apri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doi.org/10.1257/aeri.20190536" TargetMode="External"/><Relationship Id="rId17" Type="http://schemas.openxmlformats.org/officeDocument/2006/relationships/hyperlink" Target="https://www.bls.gov/cpi/" TargetMode="External"/><Relationship Id="rId2" Type="http://schemas.openxmlformats.org/officeDocument/2006/relationships/styles" Target="styles.xml"/><Relationship Id="rId16" Type="http://schemas.openxmlformats.org/officeDocument/2006/relationships/hyperlink" Target="https://www.bls.gov/cex/"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111/iere.12630" TargetMode="External"/><Relationship Id="rId5" Type="http://schemas.openxmlformats.org/officeDocument/2006/relationships/image" Target="media/image1.png"/><Relationship Id="rId15" Type="http://schemas.openxmlformats.org/officeDocument/2006/relationships/hyperlink" Target="https://doi.org/10.3386/w25402" TargetMode="External"/><Relationship Id="rId10" Type="http://schemas.openxmlformats.org/officeDocument/2006/relationships/hyperlink" Target="https://budgetlab.yale.edu/research/tariff-incidence-methodology" TargetMode="External"/><Relationship Id="rId19" Type="http://schemas.openxmlformats.org/officeDocument/2006/relationships/hyperlink" Target="https://budgetlab.yale.edu/research/fiscal-economic-and-distributional-effects-20-broad-tariff" TargetMode="External"/><Relationship Id="rId4" Type="http://schemas.openxmlformats.org/officeDocument/2006/relationships/webSettings" Target="webSettings.xml"/><Relationship Id="rId9" Type="http://schemas.openxmlformats.org/officeDocument/2006/relationships/hyperlink" Target="https://doi.org/10.1257/jep.33.4.187" TargetMode="External"/><Relationship Id="rId14" Type="http://schemas.openxmlformats.org/officeDocument/2006/relationships/hyperlink" Target="https://doi.org/10.1093/qje/qjz0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3870</Words>
  <Characters>22059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trishala singh</cp:lastModifiedBy>
  <cp:revision>1</cp:revision>
  <cp:lastPrinted>2026-06-04T06:22:00Z</cp:lastPrinted>
  <dcterms:created xsi:type="dcterms:W3CDTF">2026-06-04T06:09:00Z</dcterms:created>
  <dcterms:modified xsi:type="dcterms:W3CDTF">2026-07-16T05:50:00Z</dcterms:modified>
</cp:coreProperties>
</file>