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BD6" w14:textId="3DA0D08D" w:rsidR="003C74CE" w:rsidRPr="00EC4CD9" w:rsidRDefault="00CF1858" w:rsidP="00EC4CD9">
      <w:pPr>
        <w:spacing w:after="60"/>
        <w:rPr>
          <w:b/>
          <w:bCs/>
          <w:u w:val="single"/>
        </w:rPr>
      </w:pPr>
      <w:r w:rsidRPr="00EC4CD9">
        <w:rPr>
          <w:b/>
          <w:bCs/>
          <w:u w:val="single"/>
        </w:rPr>
        <w:t xml:space="preserve">1. </w:t>
      </w:r>
      <w:r w:rsidR="007907FC" w:rsidRPr="00EC4CD9">
        <w:rPr>
          <w:b/>
          <w:bCs/>
          <w:u w:val="single"/>
        </w:rPr>
        <w:t xml:space="preserve">transient stability data of the </w:t>
      </w:r>
      <w:r w:rsidRPr="00EC4CD9">
        <w:rPr>
          <w:b/>
          <w:bCs/>
          <w:u w:val="single"/>
        </w:rPr>
        <w:t xml:space="preserve">SMIB </w:t>
      </w:r>
      <w:r w:rsidR="007907FC" w:rsidRPr="00EC4CD9">
        <w:rPr>
          <w:b/>
          <w:bCs/>
          <w:u w:val="single"/>
        </w:rPr>
        <w:t>system</w:t>
      </w:r>
    </w:p>
    <w:p w14:paraId="5F3C5A56" w14:textId="70785D40" w:rsidR="00860E8B" w:rsidRDefault="00860E8B" w:rsidP="00EC4CD9">
      <w:pPr>
        <w:spacing w:after="60"/>
      </w:pPr>
      <w:r>
        <w:t xml:space="preserve">Our </w:t>
      </w:r>
      <w:r w:rsidR="0017324B">
        <w:rPr>
          <w:rFonts w:hint="eastAsia"/>
        </w:rPr>
        <w:t>plan</w:t>
      </w:r>
      <w:r>
        <w:t xml:space="preserve"> is to apply quantum machine learning to power system </w:t>
      </w:r>
      <w:r w:rsidRPr="001A2537">
        <w:rPr>
          <w:b/>
          <w:bCs/>
        </w:rPr>
        <w:t>transient stability assessment (TSA)</w:t>
      </w:r>
      <w:r w:rsidRPr="007907FC">
        <w:t xml:space="preserve"> </w:t>
      </w:r>
      <w:r>
        <w:t xml:space="preserve">problem, and investigate the </w:t>
      </w:r>
      <w:proofErr w:type="spellStart"/>
      <w:r>
        <w:t>expressibility</w:t>
      </w:r>
      <w:proofErr w:type="spellEnd"/>
      <w:r>
        <w:t xml:space="preserve"> of quantum neural network in TSA issues. </w:t>
      </w:r>
    </w:p>
    <w:p w14:paraId="3301F8DB" w14:textId="3535B115" w:rsidR="00CF1858" w:rsidRDefault="00CF1858" w:rsidP="00EC4CD9">
      <w:pPr>
        <w:spacing w:after="60"/>
      </w:pPr>
      <w:r>
        <w:t>Fig.1 provides the single-machine infinite-bus</w:t>
      </w:r>
      <w:r w:rsidR="007907FC">
        <w:t xml:space="preserve"> (SMIB)</w:t>
      </w:r>
      <w:r>
        <w:t xml:space="preserve"> power system</w:t>
      </w:r>
      <w:r w:rsidR="00860E8B">
        <w:t xml:space="preserve">, where a generator is connected to a bus with a constant voltage level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860E8B">
        <w:t xml:space="preserve"> (we call it an infinite bus because it has an infinite power capacity to maintain its voltage level)</w:t>
      </w:r>
      <w:r w:rsidR="007907FC">
        <w:t xml:space="preserve">. This is </w:t>
      </w:r>
      <w:r w:rsidR="007907FC" w:rsidRPr="007907FC">
        <w:t>one of the most</w:t>
      </w:r>
      <w:r w:rsidR="007907FC">
        <w:t xml:space="preserve"> </w:t>
      </w:r>
      <w:r w:rsidR="007907FC" w:rsidRPr="007907FC">
        <w:t>widely-used test systems in power system research. Since</w:t>
      </w:r>
      <w:r w:rsidR="004E5EE6">
        <w:t xml:space="preserve"> </w:t>
      </w:r>
      <w:r w:rsidR="007907FC" w:rsidRPr="007907FC">
        <w:t>the stability region of SMIB (i.e., a 2-dimensional region)</w:t>
      </w:r>
      <w:r w:rsidR="00860E8B">
        <w:t xml:space="preserve"> </w:t>
      </w:r>
      <w:r w:rsidR="007907FC" w:rsidRPr="007907FC">
        <w:t>can be analytically computed, SMIB always serves as an</w:t>
      </w:r>
      <w:r w:rsidR="004E5EE6">
        <w:t xml:space="preserve"> </w:t>
      </w:r>
      <w:r w:rsidR="007907FC" w:rsidRPr="007907FC">
        <w:t>indispensable benchmark for testing the</w:t>
      </w:r>
      <w:r w:rsidR="00860E8B">
        <w:t xml:space="preserve"> </w:t>
      </w:r>
      <w:r w:rsidR="007907FC" w:rsidRPr="007907FC">
        <w:t>performance of a</w:t>
      </w:r>
      <w:r w:rsidR="004E5EE6">
        <w:t xml:space="preserve"> </w:t>
      </w:r>
      <w:r w:rsidR="00860E8B">
        <w:t xml:space="preserve">TSA </w:t>
      </w:r>
      <w:r w:rsidR="007907FC" w:rsidRPr="007907FC">
        <w:t>method</w:t>
      </w:r>
      <w:r w:rsidR="00860E8B">
        <w:t>.</w:t>
      </w:r>
    </w:p>
    <w:p w14:paraId="728151C4" w14:textId="67D742A6" w:rsidR="00860E8B" w:rsidRDefault="00860E8B" w:rsidP="00EC4CD9">
      <w:pPr>
        <w:spacing w:after="60"/>
        <w:jc w:val="center"/>
      </w:pPr>
      <w:r>
        <w:rPr>
          <w:noProof/>
        </w:rPr>
        <w:drawing>
          <wp:inline distT="0" distB="0" distL="0" distR="0" wp14:anchorId="490F0767" wp14:editId="32814AF2">
            <wp:extent cx="2854037" cy="775713"/>
            <wp:effectExtent l="0" t="0" r="381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884980" cy="784123"/>
                    </a:xfrm>
                    <a:prstGeom prst="rect">
                      <a:avLst/>
                    </a:prstGeom>
                  </pic:spPr>
                </pic:pic>
              </a:graphicData>
            </a:graphic>
          </wp:inline>
        </w:drawing>
      </w:r>
    </w:p>
    <w:p w14:paraId="4824DA35" w14:textId="044DEA20" w:rsidR="00860E8B" w:rsidRDefault="00860E8B" w:rsidP="00EC4CD9">
      <w:pPr>
        <w:spacing w:after="60"/>
        <w:jc w:val="center"/>
      </w:pPr>
      <w:r>
        <w:t>Figure 1. Topology of the SMIB system</w:t>
      </w:r>
    </w:p>
    <w:p w14:paraId="2304AB3A" w14:textId="3C34E94A" w:rsidR="00860E8B" w:rsidRDefault="00860E8B" w:rsidP="00EC4CD9">
      <w:pPr>
        <w:spacing w:after="60"/>
      </w:pPr>
      <w:r>
        <w:t>We apply fault in the SMIB system (as shown in Fig.1) to trigger its dynamic response. Under different fault clearing times, the system will have different behaviors.</w:t>
      </w:r>
    </w:p>
    <w:p w14:paraId="53A84C05" w14:textId="490DBEEB" w:rsidR="00860E8B" w:rsidRDefault="00860E8B" w:rsidP="00EC4CD9">
      <w:pPr>
        <w:spacing w:after="60"/>
      </w:pPr>
      <w:r>
        <w:t>In the provided data, “</w:t>
      </w:r>
      <w:proofErr w:type="spellStart"/>
      <w:r w:rsidR="005B01EF">
        <w:t>SMIB_</w:t>
      </w:r>
      <w:r w:rsidRPr="00860E8B">
        <w:t>Traj</w:t>
      </w:r>
      <w:r>
        <w:t>.mat</w:t>
      </w:r>
      <w:proofErr w:type="spellEnd"/>
      <w:r>
        <w:t xml:space="preserve">” provides the SMIB system’s responses under different fault clearing time. If you plot out the </w:t>
      </w:r>
      <w:proofErr w:type="spellStart"/>
      <w:r>
        <w:t>Traj</w:t>
      </w:r>
      <w:proofErr w:type="spellEnd"/>
      <w:r>
        <w:t>.</w:t>
      </w:r>
      <w:r w:rsidRPr="00860E8B">
        <w:t xml:space="preserve"> </w:t>
      </w:r>
      <w:proofErr w:type="spellStart"/>
      <w:r w:rsidRPr="00860E8B">
        <w:t>simData.TSAfeature</w:t>
      </w:r>
      <w:proofErr w:type="spellEnd"/>
      <w:r>
        <w:t xml:space="preserve">, you will see that in some trajectories, the oscillation can be damped (as shown in Fig.2(a)), which refers to the stable cases. But in some trajectories, the system finally loses stability, which refers to the unstable cases (as shown in Fig.2(b)). </w:t>
      </w:r>
      <w:r w:rsidRPr="005B01EF">
        <w:rPr>
          <w:u w:val="single"/>
        </w:rPr>
        <w:t>Note</w:t>
      </w:r>
      <w:r w:rsidR="005B01EF" w:rsidRPr="005B01EF">
        <w:rPr>
          <w:u w:val="single"/>
        </w:rPr>
        <w:t>:</w:t>
      </w:r>
      <w:r w:rsidRPr="005B01EF">
        <w:rPr>
          <w:u w:val="single"/>
        </w:rPr>
        <w:t xml:space="preserve"> “</w:t>
      </w:r>
      <w:proofErr w:type="spellStart"/>
      <w:r w:rsidR="005B01EF" w:rsidRPr="005B01EF">
        <w:rPr>
          <w:u w:val="single"/>
        </w:rPr>
        <w:t>SMIB_</w:t>
      </w:r>
      <w:r w:rsidRPr="005B01EF">
        <w:rPr>
          <w:u w:val="single"/>
        </w:rPr>
        <w:t>Traj.mat</w:t>
      </w:r>
      <w:proofErr w:type="spellEnd"/>
      <w:r w:rsidRPr="005B01EF">
        <w:rPr>
          <w:u w:val="single"/>
        </w:rPr>
        <w:t xml:space="preserve">” will not be used for </w:t>
      </w:r>
      <w:r w:rsidR="005B01EF" w:rsidRPr="005B01EF">
        <w:rPr>
          <w:u w:val="single"/>
        </w:rPr>
        <w:t xml:space="preserve">QML </w:t>
      </w:r>
      <w:r w:rsidRPr="005B01EF">
        <w:rPr>
          <w:u w:val="single"/>
        </w:rPr>
        <w:t>training. I am providing those data only to provide you an intuitive idea about what power system TSA problem looks like.</w:t>
      </w:r>
    </w:p>
    <w:p w14:paraId="66FB7288" w14:textId="1FEE50B5" w:rsidR="00860E8B" w:rsidRDefault="00860E8B" w:rsidP="00EC4CD9">
      <w:pPr>
        <w:spacing w:after="60"/>
        <w:jc w:val="center"/>
      </w:pPr>
      <w:r>
        <w:rPr>
          <w:noProof/>
        </w:rPr>
        <w:drawing>
          <wp:inline distT="0" distB="0" distL="0" distR="0" wp14:anchorId="595637CA" wp14:editId="267FD773">
            <wp:extent cx="1433220" cy="85898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1454505" cy="871739"/>
                    </a:xfrm>
                    <a:prstGeom prst="rect">
                      <a:avLst/>
                    </a:prstGeom>
                  </pic:spPr>
                </pic:pic>
              </a:graphicData>
            </a:graphic>
          </wp:inline>
        </w:drawing>
      </w:r>
      <w:r>
        <w:t xml:space="preserve">                      </w:t>
      </w:r>
      <w:r>
        <w:rPr>
          <w:noProof/>
        </w:rPr>
        <w:drawing>
          <wp:inline distT="0" distB="0" distL="0" distR="0" wp14:anchorId="718AB244" wp14:editId="35327D9A">
            <wp:extent cx="1482725" cy="835982"/>
            <wp:effectExtent l="0" t="0" r="3175"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7"/>
                    <a:srcRect t="6940"/>
                    <a:stretch/>
                  </pic:blipFill>
                  <pic:spPr bwMode="auto">
                    <a:xfrm>
                      <a:off x="0" y="0"/>
                      <a:ext cx="1487513" cy="838682"/>
                    </a:xfrm>
                    <a:prstGeom prst="rect">
                      <a:avLst/>
                    </a:prstGeom>
                    <a:ln>
                      <a:noFill/>
                    </a:ln>
                    <a:extLst>
                      <a:ext uri="{53640926-AAD7-44D8-BBD7-CCE9431645EC}">
                        <a14:shadowObscured xmlns:a14="http://schemas.microsoft.com/office/drawing/2010/main"/>
                      </a:ext>
                    </a:extLst>
                  </pic:spPr>
                </pic:pic>
              </a:graphicData>
            </a:graphic>
          </wp:inline>
        </w:drawing>
      </w:r>
    </w:p>
    <w:p w14:paraId="3138F396" w14:textId="2CE12797" w:rsidR="00EC4CD9" w:rsidRDefault="00860E8B" w:rsidP="00EC4CD9">
      <w:pPr>
        <w:spacing w:after="60"/>
        <w:jc w:val="center"/>
      </w:pPr>
      <w:r>
        <w:t xml:space="preserve">Figure </w:t>
      </w:r>
      <w:r w:rsidR="00EC4CD9">
        <w:t>2</w:t>
      </w:r>
      <w:r>
        <w:t>. Stable and unstable cases in the SMIB system</w:t>
      </w:r>
    </w:p>
    <w:p w14:paraId="611F9D2D" w14:textId="3803DD2C" w:rsidR="00EC4CD9" w:rsidRDefault="005B01EF" w:rsidP="00EC4CD9">
      <w:pPr>
        <w:spacing w:after="60"/>
      </w:pPr>
      <w:r>
        <w:t>You will be using “</w:t>
      </w:r>
      <w:proofErr w:type="spellStart"/>
      <w:r w:rsidRPr="005B01EF">
        <w:t>SMIB_feature</w:t>
      </w:r>
      <w:r>
        <w:t>.mat</w:t>
      </w:r>
      <w:proofErr w:type="spellEnd"/>
      <w:r>
        <w:t xml:space="preserve">” for </w:t>
      </w:r>
      <w:bookmarkStart w:id="0" w:name="_Hlk128063477"/>
      <w:r>
        <w:t>QML</w:t>
      </w:r>
      <w:bookmarkEnd w:id="0"/>
      <w:r>
        <w:t>. “</w:t>
      </w:r>
      <w:proofErr w:type="spellStart"/>
      <w:r w:rsidRPr="005B01EF">
        <w:t>SMIB_feature</w:t>
      </w:r>
      <w:r>
        <w:t>.X_train</w:t>
      </w:r>
      <w:proofErr w:type="spellEnd"/>
      <w:r>
        <w:t>” and “</w:t>
      </w:r>
      <w:proofErr w:type="spellStart"/>
      <w:r w:rsidRPr="005B01EF">
        <w:t>SMIB_</w:t>
      </w:r>
      <w:proofErr w:type="gramStart"/>
      <w:r w:rsidRPr="005B01EF">
        <w:t>feature</w:t>
      </w:r>
      <w:r>
        <w:t>.Y</w:t>
      </w:r>
      <w:proofErr w:type="gramEnd"/>
      <w:r>
        <w:t>_train</w:t>
      </w:r>
      <w:proofErr w:type="spellEnd"/>
      <w:r>
        <w:t>”  provides the training set (“X” refers to the 2-dimensioanl feature and “Y” provides the classification result, i.e., 0 or 1).</w:t>
      </w:r>
      <w:r w:rsidR="00EC4CD9">
        <w:t xml:space="preserve"> If you further plot out the 2D features, you will see the stable and unstable cases are distributed as a </w:t>
      </w:r>
      <w:r w:rsidR="00EC4CD9" w:rsidRPr="00EC4CD9">
        <w:t>balloon</w:t>
      </w:r>
      <w:r w:rsidR="00EC4CD9">
        <w:t xml:space="preserve">-shape shown in Fig.3, which is called the stability region of the SMIB system. </w:t>
      </w:r>
      <w:r w:rsidR="00EC4CD9" w:rsidRPr="0017324B">
        <w:rPr>
          <w:b/>
          <w:bCs/>
        </w:rPr>
        <w:t>Our target is to classify the stable and unstable cases using QNN, or in other words, try to depict the stability region using QNN.</w:t>
      </w:r>
    </w:p>
    <w:p w14:paraId="555DE753" w14:textId="4DF19623" w:rsidR="00EC4CD9" w:rsidRDefault="00EC4CD9" w:rsidP="00EC4CD9">
      <w:pPr>
        <w:spacing w:after="60"/>
        <w:jc w:val="center"/>
      </w:pPr>
      <w:r>
        <w:rPr>
          <w:noProof/>
        </w:rPr>
        <w:drawing>
          <wp:inline distT="0" distB="0" distL="0" distR="0" wp14:anchorId="6559CE72" wp14:editId="53213B2B">
            <wp:extent cx="1751375" cy="1233055"/>
            <wp:effectExtent l="0" t="0" r="1270"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1760202" cy="1239270"/>
                    </a:xfrm>
                    <a:prstGeom prst="rect">
                      <a:avLst/>
                    </a:prstGeom>
                  </pic:spPr>
                </pic:pic>
              </a:graphicData>
            </a:graphic>
          </wp:inline>
        </w:drawing>
      </w:r>
    </w:p>
    <w:p w14:paraId="1BC813B2" w14:textId="4405C050" w:rsidR="00EC4CD9" w:rsidRDefault="00EC4CD9" w:rsidP="00EC4CD9">
      <w:pPr>
        <w:spacing w:after="60"/>
        <w:jc w:val="center"/>
      </w:pPr>
      <w:r>
        <w:t>Figure 3. Stability region of the SMIB system</w:t>
      </w:r>
    </w:p>
    <w:p w14:paraId="4819AB29" w14:textId="77777777" w:rsidR="00EC4CD9" w:rsidRDefault="00EC4CD9" w:rsidP="00EC4CD9">
      <w:pPr>
        <w:spacing w:after="60"/>
        <w:jc w:val="center"/>
      </w:pPr>
    </w:p>
    <w:p w14:paraId="57383E4E" w14:textId="23BB1FB0" w:rsidR="0017324B" w:rsidRPr="0017324B" w:rsidRDefault="00EC4CD9" w:rsidP="00EC4CD9">
      <w:pPr>
        <w:spacing w:after="60"/>
        <w:rPr>
          <w:b/>
          <w:bCs/>
          <w:u w:val="single"/>
        </w:rPr>
      </w:pPr>
      <w:r w:rsidRPr="00EC4CD9">
        <w:rPr>
          <w:b/>
          <w:bCs/>
          <w:u w:val="single"/>
        </w:rPr>
        <w:lastRenderedPageBreak/>
        <w:t xml:space="preserve">2. </w:t>
      </w:r>
      <w:r w:rsidRPr="00EC4CD9">
        <w:rPr>
          <w:rFonts w:hint="eastAsia"/>
          <w:b/>
          <w:bCs/>
          <w:u w:val="single"/>
        </w:rPr>
        <w:t>noi</w:t>
      </w:r>
      <w:r w:rsidRPr="00EC4CD9">
        <w:rPr>
          <w:b/>
          <w:bCs/>
          <w:u w:val="single"/>
        </w:rPr>
        <w:t xml:space="preserve">sy simulator set up in </w:t>
      </w:r>
      <w:proofErr w:type="spellStart"/>
      <w:r w:rsidRPr="00EC4CD9">
        <w:rPr>
          <w:b/>
          <w:bCs/>
          <w:u w:val="single"/>
        </w:rPr>
        <w:t>qiskit</w:t>
      </w:r>
      <w:proofErr w:type="spellEnd"/>
    </w:p>
    <w:p w14:paraId="4EC59211" w14:textId="47B1144C" w:rsidR="00EC4CD9" w:rsidRDefault="00EC4CD9" w:rsidP="00EC4CD9">
      <w:pPr>
        <w:spacing w:after="60"/>
      </w:pPr>
      <w:r>
        <w:t xml:space="preserve">Ideally, the quantum simulator </w:t>
      </w:r>
      <w:r>
        <w:rPr>
          <w:rFonts w:hint="eastAsia"/>
        </w:rPr>
        <w:t>you</w:t>
      </w:r>
      <w:r>
        <w:t xml:space="preserve"> are using is a noise-free quantum simulator, meaning all the</w:t>
      </w:r>
      <w:r w:rsidR="0017324B">
        <w:rPr>
          <w:rFonts w:hint="eastAsia"/>
        </w:rPr>
        <w:t xml:space="preserve"> </w:t>
      </w:r>
      <w:r>
        <w:t xml:space="preserve">quantum gates/quantum operators do not have any error. However, in real quantum computers, all the quantum gates will have certain errors, which is called the noisy-intermediate-scale quantum (NISQ) devices. For example, Fig.4 provides the error information of a typical IBM quantum computer. </w:t>
      </w:r>
      <w:r w:rsidR="00E42009">
        <w:t>You can see that each quantum gate has uncertain errors. Reading out a quantum circuit also involves error. Therefore, only studying quantum algorithms in the noise-free environment is too optimistic and does not reflect their practical performance.</w:t>
      </w:r>
    </w:p>
    <w:p w14:paraId="02709775" w14:textId="31185AAB" w:rsidR="00E42009" w:rsidRDefault="00E42009" w:rsidP="00E42009">
      <w:pPr>
        <w:spacing w:after="60"/>
        <w:jc w:val="center"/>
      </w:pPr>
      <w:r>
        <w:rPr>
          <w:noProof/>
        </w:rPr>
        <w:drawing>
          <wp:inline distT="0" distB="0" distL="0" distR="0" wp14:anchorId="734B2ECA" wp14:editId="29753EE1">
            <wp:extent cx="3931920" cy="1806330"/>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3931920" cy="1806330"/>
                    </a:xfrm>
                    <a:prstGeom prst="rect">
                      <a:avLst/>
                    </a:prstGeom>
                  </pic:spPr>
                </pic:pic>
              </a:graphicData>
            </a:graphic>
          </wp:inline>
        </w:drawing>
      </w:r>
    </w:p>
    <w:p w14:paraId="0E5B127D" w14:textId="2A081741" w:rsidR="00E42009" w:rsidRDefault="00E42009" w:rsidP="00E42009">
      <w:pPr>
        <w:spacing w:after="60"/>
        <w:jc w:val="center"/>
      </w:pPr>
      <w:r>
        <w:rPr>
          <w:noProof/>
        </w:rPr>
        <w:drawing>
          <wp:inline distT="0" distB="0" distL="0" distR="0" wp14:anchorId="2EA09EA6" wp14:editId="57BF7717">
            <wp:extent cx="3931920" cy="1734918"/>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a:stretch>
                      <a:fillRect/>
                    </a:stretch>
                  </pic:blipFill>
                  <pic:spPr>
                    <a:xfrm>
                      <a:off x="0" y="0"/>
                      <a:ext cx="3931920" cy="1734918"/>
                    </a:xfrm>
                    <a:prstGeom prst="rect">
                      <a:avLst/>
                    </a:prstGeom>
                  </pic:spPr>
                </pic:pic>
              </a:graphicData>
            </a:graphic>
          </wp:inline>
        </w:drawing>
      </w:r>
    </w:p>
    <w:p w14:paraId="1370D349" w14:textId="2FE754B6" w:rsidR="00E42009" w:rsidRDefault="00E42009" w:rsidP="00E42009">
      <w:pPr>
        <w:spacing w:after="60"/>
        <w:jc w:val="center"/>
      </w:pPr>
      <w:r>
        <w:t xml:space="preserve">Figure </w:t>
      </w:r>
      <w:r w:rsidR="00C93B71">
        <w:t>4</w:t>
      </w:r>
      <w:r>
        <w:t>. Error rate of a typical IBM quantum computer</w:t>
      </w:r>
    </w:p>
    <w:p w14:paraId="6AFAD9DD" w14:textId="004E08FD" w:rsidR="00EC4CD9" w:rsidRDefault="00EC4CD9" w:rsidP="00EC4CD9">
      <w:pPr>
        <w:spacing w:after="60"/>
      </w:pPr>
      <w:r>
        <w:t>There are basically two approaches to study the performance of a quantum algorithm in the NISQ environment.</w:t>
      </w:r>
    </w:p>
    <w:p w14:paraId="056BDE5C" w14:textId="72CC179E" w:rsidR="00EC4CD9" w:rsidRPr="00EC4CD9" w:rsidRDefault="00EC4CD9" w:rsidP="00EC4CD9">
      <w:pPr>
        <w:spacing w:after="60"/>
        <w:rPr>
          <w:rFonts w:hint="eastAsia"/>
          <w:b/>
          <w:bCs/>
          <w:u w:val="single"/>
        </w:rPr>
      </w:pPr>
      <w:r w:rsidRPr="00EC4CD9">
        <w:rPr>
          <w:b/>
          <w:bCs/>
          <w:u w:val="single"/>
        </w:rPr>
        <w:t>(1) Using real quantum computers</w:t>
      </w:r>
      <w:r w:rsidR="0017324B">
        <w:rPr>
          <w:rFonts w:hint="eastAsia"/>
          <w:b/>
          <w:bCs/>
          <w:u w:val="single"/>
        </w:rPr>
        <w:t xml:space="preserve"> </w:t>
      </w:r>
    </w:p>
    <w:p w14:paraId="4354D4FA" w14:textId="79A90BDC" w:rsidR="00EC4CD9" w:rsidRDefault="00EC4CD9" w:rsidP="00EC4CD9">
      <w:pPr>
        <w:spacing w:after="60"/>
      </w:pPr>
      <w:r>
        <w:t xml:space="preserve">For example, for IBM, you can register an account here: </w:t>
      </w:r>
      <w:hyperlink r:id="rId11" w:history="1">
        <w:r w:rsidRPr="003757D1">
          <w:rPr>
            <w:rStyle w:val="Hyperlink"/>
          </w:rPr>
          <w:t>https://quantum-computing.ibm.com/</w:t>
        </w:r>
      </w:hyperlink>
      <w:r>
        <w:t>. And then you will be able to access some of IBM’s real quantum computers through cloud</w:t>
      </w:r>
      <w:r w:rsidR="00E42009">
        <w:t xml:space="preserve">. However, in recent months, IBM quantum computers are becoming very popular and the waiting list can be relatively long (you may need to wait for several days until you can use it for a single run). </w:t>
      </w:r>
    </w:p>
    <w:p w14:paraId="6538FE8A" w14:textId="5A3B2C07" w:rsidR="00E42009" w:rsidRDefault="00E42009" w:rsidP="00EC4CD9">
      <w:pPr>
        <w:spacing w:after="60"/>
      </w:pPr>
      <w:r>
        <w:t xml:space="preserve">Therefore, if you are interested in using the real hardware, you can try IBM quantum computers. But this is </w:t>
      </w:r>
      <w:r w:rsidR="0017324B">
        <w:rPr>
          <w:rFonts w:hint="eastAsia"/>
        </w:rPr>
        <w:t xml:space="preserve">possibly very </w:t>
      </w:r>
      <w:proofErr w:type="gramStart"/>
      <w:r w:rsidR="0017324B">
        <w:rPr>
          <w:rFonts w:hint="eastAsia"/>
        </w:rPr>
        <w:t>time consuming</w:t>
      </w:r>
      <w:proofErr w:type="gramEnd"/>
      <w:r w:rsidR="0017324B">
        <w:rPr>
          <w:rFonts w:hint="eastAsia"/>
        </w:rPr>
        <w:t xml:space="preserve"> because free accounts only have access to two quantum computers and there is </w:t>
      </w:r>
      <w:r w:rsidR="0017324B">
        <w:t>always</w:t>
      </w:r>
      <w:r w:rsidR="0017324B">
        <w:rPr>
          <w:rFonts w:hint="eastAsia"/>
        </w:rPr>
        <w:t xml:space="preserve"> a long queue</w:t>
      </w:r>
      <w:r>
        <w:t>.</w:t>
      </w:r>
    </w:p>
    <w:p w14:paraId="771B596B" w14:textId="1815222E" w:rsidR="00E42009" w:rsidRPr="00D45A0B" w:rsidRDefault="00E42009" w:rsidP="00EC4CD9">
      <w:pPr>
        <w:spacing w:after="60"/>
        <w:rPr>
          <w:b/>
          <w:bCs/>
          <w:u w:val="single"/>
        </w:rPr>
      </w:pPr>
      <w:r w:rsidRPr="00D45A0B">
        <w:rPr>
          <w:b/>
          <w:bCs/>
          <w:u w:val="single"/>
        </w:rPr>
        <w:t>(2) Using noisy simulators</w:t>
      </w:r>
    </w:p>
    <w:p w14:paraId="06453CCF" w14:textId="11DF383D" w:rsidR="00E42009" w:rsidRDefault="00E42009" w:rsidP="00E42009">
      <w:pPr>
        <w:spacing w:after="60"/>
      </w:pPr>
      <w:r>
        <w:t xml:space="preserve">An alternative approach is to add noises to the quantum simulators to mimic the performance of real quantum computers. Although it is not easy to accurately replicate the noise of real quantum </w:t>
      </w:r>
      <w:r>
        <w:lastRenderedPageBreak/>
        <w:t xml:space="preserve">computers, using noisy simulators will </w:t>
      </w:r>
      <w:proofErr w:type="gramStart"/>
      <w:r>
        <w:t>more or less provide</w:t>
      </w:r>
      <w:proofErr w:type="gramEnd"/>
      <w:r>
        <w:t xml:space="preserve"> </w:t>
      </w:r>
      <w:r w:rsidR="0017324B">
        <w:t>us with</w:t>
      </w:r>
      <w:r>
        <w:t xml:space="preserve"> some conclusions on the noisy performance of quantum algorithms. </w:t>
      </w:r>
    </w:p>
    <w:p w14:paraId="01979BCA" w14:textId="00B32E52" w:rsidR="00E42009" w:rsidRDefault="00E42009" w:rsidP="00E42009">
      <w:pPr>
        <w:spacing w:after="60"/>
      </w:pPr>
      <w:r>
        <w:t xml:space="preserve">After you have completed the training of the QNN, you can test its performance in noisy environments. The setup is </w:t>
      </w:r>
      <w:r w:rsidR="00D45A0B">
        <w:t xml:space="preserve">provided in the attached python codes. More information can be found here: </w:t>
      </w:r>
      <w:hyperlink r:id="rId12" w:history="1">
        <w:r w:rsidR="0017324B" w:rsidRPr="003B59F8">
          <w:rPr>
            <w:rStyle w:val="Hyperlink"/>
          </w:rPr>
          <w:t>https://qiskit.org/documentation/apidoc/aer_noise.html</w:t>
        </w:r>
      </w:hyperlink>
    </w:p>
    <w:p w14:paraId="5CB34A76" w14:textId="24E73D35" w:rsidR="0017324B" w:rsidRDefault="0017324B" w:rsidP="00E42009">
      <w:pPr>
        <w:spacing w:after="60"/>
      </w:pPr>
      <w:r>
        <w:rPr>
          <w:rFonts w:hint="eastAsia"/>
        </w:rPr>
        <w:t xml:space="preserve">We have </w:t>
      </w:r>
      <w:r>
        <w:t>also</w:t>
      </w:r>
      <w:r>
        <w:rPr>
          <w:rFonts w:hint="eastAsia"/>
        </w:rPr>
        <w:t xml:space="preserve"> provided python scripts about setting up the noise models in the package</w:t>
      </w:r>
      <w:r w:rsidR="008610D8">
        <w:rPr>
          <w:rFonts w:hint="eastAsia"/>
        </w:rPr>
        <w:t xml:space="preserve">, which is through the </w:t>
      </w:r>
      <w:r w:rsidR="008610D8">
        <w:t>python</w:t>
      </w:r>
      <w:r w:rsidR="008610D8">
        <w:rPr>
          <w:rFonts w:hint="eastAsia"/>
        </w:rPr>
        <w:t xml:space="preserve"> </w:t>
      </w:r>
      <w:r w:rsidR="008610D8">
        <w:t>package</w:t>
      </w:r>
      <w:r w:rsidR="008610D8">
        <w:rPr>
          <w:rFonts w:hint="eastAsia"/>
        </w:rPr>
        <w:t xml:space="preserve"> </w:t>
      </w:r>
      <w:proofErr w:type="spellStart"/>
      <w:r w:rsidR="008610D8">
        <w:rPr>
          <w:rFonts w:hint="eastAsia"/>
        </w:rPr>
        <w:t>pennylane</w:t>
      </w:r>
      <w:proofErr w:type="spellEnd"/>
      <w:r w:rsidR="00880ED3">
        <w:rPr>
          <w:rFonts w:hint="eastAsia"/>
        </w:rPr>
        <w:t xml:space="preserve"> </w:t>
      </w:r>
      <w:r w:rsidR="00880ED3" w:rsidRPr="00880ED3">
        <w:t>https://pennylane.ai/blog/2021/05/how-to-simulate-noise-with-pennylane/</w:t>
      </w:r>
      <w:r>
        <w:rPr>
          <w:rFonts w:hint="eastAsia"/>
        </w:rPr>
        <w:t>.</w:t>
      </w:r>
    </w:p>
    <w:p w14:paraId="7D4984D0" w14:textId="1A8C8965" w:rsidR="008610D8" w:rsidRPr="0017324B" w:rsidRDefault="008610D8" w:rsidP="008610D8">
      <w:pPr>
        <w:spacing w:after="60"/>
        <w:rPr>
          <w:rFonts w:hint="eastAsia"/>
          <w:b/>
          <w:bCs/>
          <w:u w:val="single"/>
        </w:rPr>
      </w:pPr>
      <w:r>
        <w:rPr>
          <w:rFonts w:hint="eastAsia"/>
          <w:b/>
          <w:bCs/>
          <w:u w:val="single"/>
        </w:rPr>
        <w:t>3</w:t>
      </w:r>
      <w:r w:rsidRPr="00EC4CD9">
        <w:rPr>
          <w:b/>
          <w:bCs/>
          <w:u w:val="single"/>
        </w:rPr>
        <w:t xml:space="preserve">. </w:t>
      </w:r>
      <w:r>
        <w:rPr>
          <w:rFonts w:hint="eastAsia"/>
          <w:b/>
          <w:bCs/>
          <w:u w:val="single"/>
        </w:rPr>
        <w:t>Schedule</w:t>
      </w:r>
    </w:p>
    <w:p w14:paraId="253C0427" w14:textId="29E6602F" w:rsidR="00E42009" w:rsidRDefault="00880ED3" w:rsidP="00E42009">
      <w:pPr>
        <w:spacing w:after="60"/>
      </w:pPr>
      <w:r>
        <w:rPr>
          <w:rFonts w:hint="eastAsia"/>
        </w:rPr>
        <w:t>The following table provides a suggested schedule for the 6-week program.</w:t>
      </w:r>
    </w:p>
    <w:tbl>
      <w:tblPr>
        <w:tblStyle w:val="TableGrid"/>
        <w:tblW w:w="0" w:type="auto"/>
        <w:tblLook w:val="04A0" w:firstRow="1" w:lastRow="0" w:firstColumn="1" w:lastColumn="0" w:noHBand="0" w:noVBand="1"/>
      </w:tblPr>
      <w:tblGrid>
        <w:gridCol w:w="1075"/>
        <w:gridCol w:w="8275"/>
      </w:tblGrid>
      <w:tr w:rsidR="00880ED3" w14:paraId="700AE32C" w14:textId="77777777" w:rsidTr="00880ED3">
        <w:tc>
          <w:tcPr>
            <w:tcW w:w="1075" w:type="dxa"/>
          </w:tcPr>
          <w:p w14:paraId="6365097A" w14:textId="125A2E7E" w:rsidR="00880ED3" w:rsidRDefault="00880ED3" w:rsidP="00E42009">
            <w:pPr>
              <w:spacing w:after="60"/>
              <w:rPr>
                <w:rFonts w:hint="eastAsia"/>
              </w:rPr>
            </w:pPr>
            <w:r>
              <w:rPr>
                <w:rFonts w:hint="eastAsia"/>
              </w:rPr>
              <w:t>Week</w:t>
            </w:r>
          </w:p>
        </w:tc>
        <w:tc>
          <w:tcPr>
            <w:tcW w:w="8275" w:type="dxa"/>
          </w:tcPr>
          <w:p w14:paraId="362978C5" w14:textId="19FB5C99" w:rsidR="00880ED3" w:rsidRDefault="00880ED3" w:rsidP="00E42009">
            <w:pPr>
              <w:spacing w:after="60"/>
              <w:rPr>
                <w:rFonts w:hint="eastAsia"/>
              </w:rPr>
            </w:pPr>
            <w:r>
              <w:rPr>
                <w:rFonts w:hint="eastAsia"/>
              </w:rPr>
              <w:t>Research plan</w:t>
            </w:r>
          </w:p>
        </w:tc>
      </w:tr>
      <w:tr w:rsidR="00880ED3" w14:paraId="67E8B9F5" w14:textId="77777777" w:rsidTr="00880ED3">
        <w:tc>
          <w:tcPr>
            <w:tcW w:w="1075" w:type="dxa"/>
          </w:tcPr>
          <w:p w14:paraId="6CBA055E" w14:textId="28B66314" w:rsidR="00880ED3" w:rsidRDefault="00880ED3" w:rsidP="00E42009">
            <w:pPr>
              <w:spacing w:after="60"/>
              <w:rPr>
                <w:rFonts w:hint="eastAsia"/>
              </w:rPr>
            </w:pPr>
            <w:r>
              <w:rPr>
                <w:rFonts w:hint="eastAsia"/>
              </w:rPr>
              <w:t>1</w:t>
            </w:r>
          </w:p>
        </w:tc>
        <w:tc>
          <w:tcPr>
            <w:tcW w:w="8275" w:type="dxa"/>
          </w:tcPr>
          <w:p w14:paraId="376CE70D" w14:textId="29FFFFC3" w:rsidR="00880ED3" w:rsidRPr="00880ED3" w:rsidRDefault="00880ED3" w:rsidP="00E42009">
            <w:pPr>
              <w:spacing w:after="60"/>
              <w:rPr>
                <w:rFonts w:hint="eastAsia"/>
              </w:rPr>
            </w:pPr>
            <w:r>
              <w:rPr>
                <w:rFonts w:hint="eastAsia"/>
              </w:rPr>
              <w:t xml:space="preserve">Read </w:t>
            </w:r>
            <w:r>
              <w:t>relevant</w:t>
            </w:r>
            <w:r>
              <w:rPr>
                <w:rFonts w:hint="eastAsia"/>
              </w:rPr>
              <w:t xml:space="preserve"> </w:t>
            </w:r>
            <w:r>
              <w:rPr>
                <w:rFonts w:hint="eastAsia"/>
              </w:rPr>
              <w:t>documents</w:t>
            </w:r>
            <w:r>
              <w:rPr>
                <w:rFonts w:hint="eastAsia"/>
              </w:rPr>
              <w:t xml:space="preserve"> about </w:t>
            </w:r>
            <w:proofErr w:type="spellStart"/>
            <w:r>
              <w:rPr>
                <w:rFonts w:hint="eastAsia"/>
              </w:rPr>
              <w:t>pennylane</w:t>
            </w:r>
            <w:proofErr w:type="spellEnd"/>
            <w:r>
              <w:rPr>
                <w:rFonts w:hint="eastAsia"/>
              </w:rPr>
              <w:t xml:space="preserve"> or </w:t>
            </w:r>
            <w:proofErr w:type="spellStart"/>
            <w:r>
              <w:rPr>
                <w:rFonts w:hint="eastAsia"/>
              </w:rPr>
              <w:t>qiskit</w:t>
            </w:r>
            <w:proofErr w:type="spellEnd"/>
            <w:r>
              <w:rPr>
                <w:rFonts w:hint="eastAsia"/>
              </w:rPr>
              <w:t xml:space="preserve">, and get </w:t>
            </w:r>
            <w:r>
              <w:t>familiar</w:t>
            </w:r>
            <w:r>
              <w:rPr>
                <w:rFonts w:hint="eastAsia"/>
              </w:rPr>
              <w:t xml:space="preserve"> with the provided code package.</w:t>
            </w:r>
          </w:p>
        </w:tc>
      </w:tr>
      <w:tr w:rsidR="00880ED3" w14:paraId="225B57E7" w14:textId="77777777" w:rsidTr="00880ED3">
        <w:tc>
          <w:tcPr>
            <w:tcW w:w="1075" w:type="dxa"/>
          </w:tcPr>
          <w:p w14:paraId="6632DCD8" w14:textId="7803BECB" w:rsidR="00880ED3" w:rsidRDefault="00880ED3" w:rsidP="00E42009">
            <w:pPr>
              <w:spacing w:after="60"/>
              <w:rPr>
                <w:rFonts w:hint="eastAsia"/>
              </w:rPr>
            </w:pPr>
            <w:r>
              <w:rPr>
                <w:rFonts w:hint="eastAsia"/>
              </w:rPr>
              <w:t>2</w:t>
            </w:r>
          </w:p>
        </w:tc>
        <w:tc>
          <w:tcPr>
            <w:tcW w:w="8275" w:type="dxa"/>
          </w:tcPr>
          <w:p w14:paraId="484F3970" w14:textId="140203F8" w:rsidR="00880ED3" w:rsidRDefault="00880ED3" w:rsidP="00E42009">
            <w:pPr>
              <w:spacing w:after="60"/>
              <w:rPr>
                <w:rFonts w:hint="eastAsia"/>
              </w:rPr>
            </w:pPr>
            <w:r>
              <w:rPr>
                <w:rFonts w:hint="eastAsia"/>
              </w:rPr>
              <w:t xml:space="preserve">Generate power system data through the provided </w:t>
            </w:r>
            <w:proofErr w:type="spellStart"/>
            <w:r>
              <w:rPr>
                <w:rFonts w:hint="eastAsia"/>
              </w:rPr>
              <w:t>matlab</w:t>
            </w:r>
            <w:proofErr w:type="spellEnd"/>
            <w:r>
              <w:rPr>
                <w:rFonts w:hint="eastAsia"/>
              </w:rPr>
              <w:t xml:space="preserve"> code, and try to run the python code.</w:t>
            </w:r>
          </w:p>
        </w:tc>
      </w:tr>
      <w:tr w:rsidR="00880ED3" w14:paraId="6719FA40" w14:textId="77777777" w:rsidTr="00880ED3">
        <w:tc>
          <w:tcPr>
            <w:tcW w:w="1075" w:type="dxa"/>
          </w:tcPr>
          <w:p w14:paraId="25480712" w14:textId="42BB6B5B" w:rsidR="00880ED3" w:rsidRDefault="00880ED3" w:rsidP="00E42009">
            <w:pPr>
              <w:spacing w:after="60"/>
              <w:rPr>
                <w:rFonts w:hint="eastAsia"/>
              </w:rPr>
            </w:pPr>
            <w:r>
              <w:rPr>
                <w:rFonts w:hint="eastAsia"/>
              </w:rPr>
              <w:t>3</w:t>
            </w:r>
          </w:p>
        </w:tc>
        <w:tc>
          <w:tcPr>
            <w:tcW w:w="8275" w:type="dxa"/>
          </w:tcPr>
          <w:p w14:paraId="57440252" w14:textId="534B8BE5" w:rsidR="00880ED3" w:rsidRDefault="00880ED3" w:rsidP="00E42009">
            <w:pPr>
              <w:spacing w:after="60"/>
              <w:rPr>
                <w:rFonts w:hint="eastAsia"/>
              </w:rPr>
            </w:pPr>
            <w:r>
              <w:rPr>
                <w:rFonts w:hint="eastAsia"/>
              </w:rPr>
              <w:t xml:space="preserve">Train the quantum neural network using the provided package and try to examine its performance both on the noise-free </w:t>
            </w:r>
            <w:r>
              <w:t>simulator</w:t>
            </w:r>
            <w:r>
              <w:rPr>
                <w:rFonts w:hint="eastAsia"/>
              </w:rPr>
              <w:t xml:space="preserve"> and noisy simulator using the provided noisy model.</w:t>
            </w:r>
          </w:p>
        </w:tc>
      </w:tr>
      <w:tr w:rsidR="00880ED3" w14:paraId="32670534" w14:textId="77777777" w:rsidTr="00880ED3">
        <w:tc>
          <w:tcPr>
            <w:tcW w:w="1075" w:type="dxa"/>
          </w:tcPr>
          <w:p w14:paraId="6AA249C1" w14:textId="2B125468" w:rsidR="00880ED3" w:rsidRDefault="00880ED3" w:rsidP="00E42009">
            <w:pPr>
              <w:spacing w:after="60"/>
              <w:rPr>
                <w:rFonts w:hint="eastAsia"/>
              </w:rPr>
            </w:pPr>
            <w:r>
              <w:rPr>
                <w:rFonts w:hint="eastAsia"/>
              </w:rPr>
              <w:t>4</w:t>
            </w:r>
          </w:p>
        </w:tc>
        <w:tc>
          <w:tcPr>
            <w:tcW w:w="8275" w:type="dxa"/>
            <w:vMerge w:val="restart"/>
          </w:tcPr>
          <w:p w14:paraId="6EF46F84" w14:textId="69421D17" w:rsidR="00880ED3" w:rsidRDefault="00880ED3" w:rsidP="00E42009">
            <w:pPr>
              <w:spacing w:after="60"/>
              <w:rPr>
                <w:rFonts w:hint="eastAsia"/>
              </w:rPr>
            </w:pPr>
            <w:r>
              <w:rPr>
                <w:rFonts w:hint="eastAsia"/>
              </w:rPr>
              <w:t xml:space="preserve">Try to change the structure of the quantum neural network to see how different QNN </w:t>
            </w:r>
            <w:r>
              <w:t>settings</w:t>
            </w:r>
            <w:r>
              <w:rPr>
                <w:rFonts w:hint="eastAsia"/>
              </w:rPr>
              <w:t xml:space="preserve"> (such as number of qubits, number of layers, or used quantum gates) will impact the performance of its </w:t>
            </w:r>
            <w:r>
              <w:t>classification</w:t>
            </w:r>
            <w:r>
              <w:rPr>
                <w:rFonts w:hint="eastAsia"/>
              </w:rPr>
              <w:t xml:space="preserve"> capability for power system TSA.</w:t>
            </w:r>
          </w:p>
        </w:tc>
      </w:tr>
      <w:tr w:rsidR="00880ED3" w14:paraId="37950BC1" w14:textId="77777777" w:rsidTr="00880ED3">
        <w:tc>
          <w:tcPr>
            <w:tcW w:w="1075" w:type="dxa"/>
          </w:tcPr>
          <w:p w14:paraId="353F653F" w14:textId="793CE528" w:rsidR="00880ED3" w:rsidRDefault="00880ED3" w:rsidP="00E42009">
            <w:pPr>
              <w:spacing w:after="60"/>
              <w:rPr>
                <w:rFonts w:hint="eastAsia"/>
              </w:rPr>
            </w:pPr>
            <w:r>
              <w:rPr>
                <w:rFonts w:hint="eastAsia"/>
              </w:rPr>
              <w:t>5</w:t>
            </w:r>
          </w:p>
        </w:tc>
        <w:tc>
          <w:tcPr>
            <w:tcW w:w="8275" w:type="dxa"/>
            <w:vMerge/>
          </w:tcPr>
          <w:p w14:paraId="5C1BF50E" w14:textId="77777777" w:rsidR="00880ED3" w:rsidRDefault="00880ED3" w:rsidP="00E42009">
            <w:pPr>
              <w:spacing w:after="60"/>
              <w:rPr>
                <w:rFonts w:hint="eastAsia"/>
              </w:rPr>
            </w:pPr>
          </w:p>
        </w:tc>
      </w:tr>
      <w:tr w:rsidR="00880ED3" w14:paraId="40F82277" w14:textId="77777777" w:rsidTr="00880ED3">
        <w:tc>
          <w:tcPr>
            <w:tcW w:w="1075" w:type="dxa"/>
          </w:tcPr>
          <w:p w14:paraId="16399E72" w14:textId="0A4EFC56" w:rsidR="00880ED3" w:rsidRDefault="00880ED3" w:rsidP="00E42009">
            <w:pPr>
              <w:spacing w:after="60"/>
              <w:rPr>
                <w:rFonts w:hint="eastAsia"/>
              </w:rPr>
            </w:pPr>
            <w:r>
              <w:rPr>
                <w:rFonts w:hint="eastAsia"/>
              </w:rPr>
              <w:t>6</w:t>
            </w:r>
          </w:p>
        </w:tc>
        <w:tc>
          <w:tcPr>
            <w:tcW w:w="8275" w:type="dxa"/>
          </w:tcPr>
          <w:p w14:paraId="3B80382E" w14:textId="47E7F78C" w:rsidR="00880ED3" w:rsidRDefault="00880ED3" w:rsidP="00E42009">
            <w:pPr>
              <w:spacing w:after="60"/>
              <w:rPr>
                <w:rFonts w:hint="eastAsia"/>
              </w:rPr>
            </w:pPr>
            <w:r>
              <w:rPr>
                <w:rFonts w:hint="eastAsia"/>
              </w:rPr>
              <w:t>Collect results and w</w:t>
            </w:r>
            <w:r>
              <w:t>rap</w:t>
            </w:r>
            <w:r>
              <w:rPr>
                <w:rFonts w:hint="eastAsia"/>
              </w:rPr>
              <w:t xml:space="preserve"> up</w:t>
            </w:r>
          </w:p>
        </w:tc>
      </w:tr>
    </w:tbl>
    <w:p w14:paraId="7D84F363" w14:textId="77777777" w:rsidR="00880ED3" w:rsidRDefault="00880ED3" w:rsidP="00E42009">
      <w:pPr>
        <w:spacing w:after="60"/>
        <w:rPr>
          <w:rFonts w:hint="eastAsia"/>
        </w:rPr>
      </w:pPr>
    </w:p>
    <w:p w14:paraId="3BFE53DF" w14:textId="2B0A8DF9" w:rsidR="005B01EF" w:rsidRDefault="005B01EF" w:rsidP="00EC4CD9">
      <w:pPr>
        <w:spacing w:after="60"/>
      </w:pPr>
      <w:r>
        <w:t xml:space="preserve"> </w:t>
      </w:r>
    </w:p>
    <w:p w14:paraId="149AE70E" w14:textId="77777777" w:rsidR="00860E8B" w:rsidRDefault="00860E8B" w:rsidP="00EC4CD9">
      <w:pPr>
        <w:spacing w:after="60"/>
        <w:jc w:val="center"/>
      </w:pPr>
    </w:p>
    <w:sectPr w:rsidR="00860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264C6"/>
    <w:multiLevelType w:val="hybridMultilevel"/>
    <w:tmpl w:val="7E6A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15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40"/>
    <w:rsid w:val="0017324B"/>
    <w:rsid w:val="001A2537"/>
    <w:rsid w:val="002B3540"/>
    <w:rsid w:val="003C74CE"/>
    <w:rsid w:val="004E5EE6"/>
    <w:rsid w:val="005B01EF"/>
    <w:rsid w:val="007907FC"/>
    <w:rsid w:val="00860E8B"/>
    <w:rsid w:val="008610D8"/>
    <w:rsid w:val="00880ED3"/>
    <w:rsid w:val="00C93B71"/>
    <w:rsid w:val="00CF1858"/>
    <w:rsid w:val="00D45A0B"/>
    <w:rsid w:val="00E42009"/>
    <w:rsid w:val="00EC4CD9"/>
    <w:rsid w:val="00F11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0E57"/>
  <w15:chartTrackingRefBased/>
  <w15:docId w15:val="{78407B74-D684-4E9E-B5B9-1559DC7C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58"/>
    <w:pPr>
      <w:ind w:left="720"/>
      <w:contextualSpacing/>
    </w:pPr>
  </w:style>
  <w:style w:type="character" w:styleId="PlaceholderText">
    <w:name w:val="Placeholder Text"/>
    <w:basedOn w:val="DefaultParagraphFont"/>
    <w:uiPriority w:val="99"/>
    <w:semiHidden/>
    <w:rsid w:val="00860E8B"/>
    <w:rPr>
      <w:color w:val="808080"/>
    </w:rPr>
  </w:style>
  <w:style w:type="character" w:styleId="Hyperlink">
    <w:name w:val="Hyperlink"/>
    <w:basedOn w:val="DefaultParagraphFont"/>
    <w:uiPriority w:val="99"/>
    <w:unhideWhenUsed/>
    <w:rsid w:val="00EC4CD9"/>
    <w:rPr>
      <w:color w:val="0563C1" w:themeColor="hyperlink"/>
      <w:u w:val="single"/>
    </w:rPr>
  </w:style>
  <w:style w:type="character" w:styleId="UnresolvedMention">
    <w:name w:val="Unresolved Mention"/>
    <w:basedOn w:val="DefaultParagraphFont"/>
    <w:uiPriority w:val="99"/>
    <w:semiHidden/>
    <w:unhideWhenUsed/>
    <w:rsid w:val="00EC4CD9"/>
    <w:rPr>
      <w:color w:val="605E5C"/>
      <w:shd w:val="clear" w:color="auto" w:fill="E1DFDD"/>
    </w:rPr>
  </w:style>
  <w:style w:type="table" w:styleId="TableGrid">
    <w:name w:val="Table Grid"/>
    <w:basedOn w:val="TableNormal"/>
    <w:uiPriority w:val="39"/>
    <w:rsid w:val="0088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5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qiskit.org/documentation/apidoc/aer_no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uantum-computing.ibm.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Zhou</dc:creator>
  <cp:keywords/>
  <dc:description/>
  <cp:lastModifiedBy>Yifan Zhou</cp:lastModifiedBy>
  <cp:revision>12</cp:revision>
  <dcterms:created xsi:type="dcterms:W3CDTF">2023-02-23T21:13:00Z</dcterms:created>
  <dcterms:modified xsi:type="dcterms:W3CDTF">2024-06-24T12:54:00Z</dcterms:modified>
</cp:coreProperties>
</file>