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Global Climate Change: A Risk &amp; Policy Briefing</w:t>
      </w:r>
    </w:p>
    <w:p>
      <w:r>
        <w:rPr>
          <w:i/>
          <w:iCs/>
          <w:color w:val="666666"/>
          <w:sz w:val="18"/>
          <w:szCs w:val="18"/>
        </w:rPr>
        <w:t xml:space="preserve">Format: Word Document (.docx)  ·  Category: Formal Report  ·  Compiled 2026  ·  Sources: NOAA, WMO, IRENA, IEA, EDGAR/JRC, UNFCCC</w:t>
      </w:r>
    </w:p>
    <w:p/>
    <w:p>
      <w:pPr>
        <w:pStyle w:val="Heading1"/>
      </w:pPr>
      <w:r>
        <w:t xml:space="preserve">1. Executive Summary</w:t>
      </w:r>
    </w:p>
    <w:p>
      <w:r>
        <w:t xml:space="preserve">2024 was confirmed by the World Meteorological Organization (WMO) as the warmest year on record, with global average surface temperature about 1.55°C (±0.13°C) above the 1850-1900 pre-industrial baseline — likely the first calendar year to exceed the Paris Agreement's 1.5°C reference point. Atmospheric CO2 reached a record annual average of 422.8 ppm in 2024 and 427.5 ppm in 2025, roughly 50% above pre-industrial levels. Global greenhouse gas emissions reached 53.2 GtCO2e in 2024, up 1.3% year-on-year, even as renewable power capacity grew by a record 585 GW. This briefing summarizes the physical science, country-level emissions, the policy response through COP30 (Belem, 2025), and implications for financial and enterprise risk management.</w:t>
      </w:r>
    </w:p>
    <w:p/>
    <w:p>
      <w:pPr>
        <w:pStyle w:val="Heading1"/>
      </w:pPr>
      <w:r>
        <w:t xml:space="preserve">2. The Greenhouse Effect and Current Readings</w:t>
      </w:r>
    </w:p>
    <w:p>
      <w:r>
        <w:t xml:space="preserve">Sunlight warms Earth's surface, which radiates heat back toward space. Greenhouse gases in the atmosphere absorb and re-emit part of that heat, warming the lower atmosphere. This is a natural process; human emissions have intensified it well beyond historical norms. CO2 concentrations have never fallen year-over-year since continuous monitoring began at Mauna Loa in 1959 — the 2023-2024 increase of 3.75 ppm was the largest single-year jump on record, and the seasonal peak exceeded 430 ppm for the first time in May 2025, reaching approximately 434 ppm in May 2026.</w:t>
      </w:r>
    </w:p>
    <w:p/>
    <w:p>
      <w:pPr>
        <w:pStyle w:val="Heading1"/>
      </w:pPr>
      <w:r>
        <w:t xml:space="preserve">3. Key Greenhouse Gases (Share of 2024 Global GHG Emissions)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shd w:fill="2F6F4F" w:val="clear"/>
          </w:tcPr>
          <w:p>
            <w:r>
              <w:rPr>
                <w:b/>
                <w:bCs/>
                <w:color w:val="FFFFFF"/>
                <w:sz w:val="19"/>
                <w:szCs w:val="19"/>
              </w:rPr>
              <w:t xml:space="preserve">Gas</w:t>
            </w:r>
          </w:p>
        </w:tc>
        <w:tc>
          <w:tcPr>
            <w:tcW w:type="dxa" w:w="1400"/>
            <w:shd w:fill="2F6F4F" w:val="clear"/>
          </w:tcPr>
          <w:p>
            <w:r>
              <w:rPr>
                <w:b/>
                <w:bCs/>
                <w:color w:val="FFFFFF"/>
                <w:sz w:val="19"/>
                <w:szCs w:val="19"/>
              </w:rPr>
              <w:t xml:space="preserve">Share</w:t>
            </w:r>
          </w:p>
        </w:tc>
        <w:tc>
          <w:tcPr>
            <w:tcW w:type="dxa" w:w="5400"/>
            <w:shd w:fill="2F6F4F" w:val="clear"/>
          </w:tcPr>
          <w:p>
            <w:r>
              <w:rPr>
                <w:b/>
                <w:bCs/>
                <w:color w:val="FFFFFF"/>
                <w:sz w:val="19"/>
                <w:szCs w:val="19"/>
              </w:rPr>
              <w:t xml:space="preserve">Primary Sources</w:t>
            </w:r>
          </w:p>
        </w:tc>
      </w:tr>
      <w:tr>
        <w:tc>
          <w:tcPr>
            <w:tcW w:type="dxa" w:w="2200"/>
          </w:tcPr>
          <w:p>
            <w:r>
              <w:rPr>
                <w:sz w:val="19"/>
                <w:szCs w:val="19"/>
              </w:rPr>
              <w:t xml:space="preserve">Carbon dioxide (CO2)</w:t>
            </w:r>
          </w:p>
        </w:tc>
        <w:tc>
          <w:tcPr>
            <w:tcW w:type="dxa" w:w="1400"/>
          </w:tcPr>
          <w:p>
            <w:r>
              <w:rPr>
                <w:sz w:val="19"/>
                <w:szCs w:val="19"/>
              </w:rPr>
              <w:t xml:space="preserve">74.5%</w:t>
            </w:r>
          </w:p>
        </w:tc>
        <w:tc>
          <w:tcPr>
            <w:tcW w:type="dxa" w:w="5400"/>
          </w:tcPr>
          <w:p>
            <w:r>
              <w:rPr>
                <w:sz w:val="19"/>
                <w:szCs w:val="19"/>
              </w:rPr>
              <w:t xml:space="preserve">Fossil fuel combustion, deforestation, cement production</w:t>
            </w:r>
          </w:p>
        </w:tc>
      </w:tr>
      <w:tr>
        <w:tc>
          <w:tcPr>
            <w:tcW w:type="dxa" w:w="2200"/>
          </w:tcPr>
          <w:p>
            <w:r>
              <w:rPr>
                <w:sz w:val="19"/>
                <w:szCs w:val="19"/>
              </w:rPr>
              <w:t xml:space="preserve">Methane (CH4)</w:t>
            </w:r>
          </w:p>
        </w:tc>
        <w:tc>
          <w:tcPr>
            <w:tcW w:type="dxa" w:w="1400"/>
          </w:tcPr>
          <w:p>
            <w:r>
              <w:rPr>
                <w:sz w:val="19"/>
                <w:szCs w:val="19"/>
              </w:rPr>
              <w:t xml:space="preserve">17.9%</w:t>
            </w:r>
          </w:p>
        </w:tc>
        <w:tc>
          <w:tcPr>
            <w:tcW w:type="dxa" w:w="5400"/>
          </w:tcPr>
          <w:p>
            <w:r>
              <w:rPr>
                <w:sz w:val="19"/>
                <w:szCs w:val="19"/>
              </w:rPr>
              <w:t xml:space="preserve">Livestock, landfills, oil and gas extraction</w:t>
            </w:r>
          </w:p>
        </w:tc>
      </w:tr>
      <w:tr>
        <w:tc>
          <w:tcPr>
            <w:tcW w:type="dxa" w:w="2200"/>
          </w:tcPr>
          <w:p>
            <w:r>
              <w:rPr>
                <w:sz w:val="19"/>
                <w:szCs w:val="19"/>
              </w:rPr>
              <w:t xml:space="preserve">Nitrous oxide (N2O)</w:t>
            </w:r>
          </w:p>
        </w:tc>
        <w:tc>
          <w:tcPr>
            <w:tcW w:type="dxa" w:w="1400"/>
          </w:tcPr>
          <w:p>
            <w:r>
              <w:rPr>
                <w:sz w:val="19"/>
                <w:szCs w:val="19"/>
              </w:rPr>
              <w:t xml:space="preserve">4.8%</w:t>
            </w:r>
          </w:p>
        </w:tc>
        <w:tc>
          <w:tcPr>
            <w:tcW w:type="dxa" w:w="5400"/>
          </w:tcPr>
          <w:p>
            <w:r>
              <w:rPr>
                <w:sz w:val="19"/>
                <w:szCs w:val="19"/>
              </w:rPr>
              <w:t xml:space="preserve">Fertilizers, industrial processes</w:t>
            </w:r>
          </w:p>
        </w:tc>
      </w:tr>
      <w:tr>
        <w:tc>
          <w:tcPr>
            <w:tcW w:type="dxa" w:w="2200"/>
          </w:tcPr>
          <w:p>
            <w:r>
              <w:rPr>
                <w:sz w:val="19"/>
                <w:szCs w:val="19"/>
              </w:rPr>
              <w:t xml:space="preserve">Fluorinated gases</w:t>
            </w:r>
          </w:p>
        </w:tc>
        <w:tc>
          <w:tcPr>
            <w:tcW w:type="dxa" w:w="1400"/>
          </w:tcPr>
          <w:p>
            <w:r>
              <w:rPr>
                <w:sz w:val="19"/>
                <w:szCs w:val="19"/>
              </w:rPr>
              <w:t xml:space="preserve">2.8%</w:t>
            </w:r>
          </w:p>
        </w:tc>
        <w:tc>
          <w:tcPr>
            <w:tcW w:type="dxa" w:w="5400"/>
          </w:tcPr>
          <w:p>
            <w:r>
              <w:rPr>
                <w:sz w:val="19"/>
                <w:szCs w:val="19"/>
              </w:rPr>
              <w:t xml:space="preserve">Refrigeration, air conditioning, industry</w:t>
            </w:r>
          </w:p>
        </w:tc>
      </w:tr>
    </w:tbl>
    <w:p/>
    <w:p>
      <w:pPr>
        <w:pStyle w:val="Heading1"/>
      </w:pPr>
      <w:r>
        <w:t xml:space="preserve">4. Emissions by Country / Bloc (2024)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800"/>
      </w:tblGrid>
      <w:tr>
        <w:tc>
          <w:tcPr>
            <w:tcW w:type="dxa" w:w="2600"/>
            <w:shd w:fill="2F6F4F" w:val="clear"/>
          </w:tcPr>
          <w:p>
            <w:r>
              <w:rPr>
                <w:b/>
                <w:bCs/>
                <w:color w:val="FFFFFF"/>
                <w:sz w:val="19"/>
                <w:szCs w:val="19"/>
              </w:rPr>
              <w:t xml:space="preserve">Country / Bloc</w:t>
            </w:r>
          </w:p>
        </w:tc>
        <w:tc>
          <w:tcPr>
            <w:tcW w:type="dxa" w:w="1800"/>
            <w:shd w:fill="2F6F4F" w:val="clear"/>
          </w:tcPr>
          <w:p>
            <w:r>
              <w:rPr>
                <w:b/>
                <w:bCs/>
                <w:color w:val="FFFFFF"/>
                <w:sz w:val="19"/>
                <w:szCs w:val="19"/>
              </w:rPr>
              <w:t xml:space="preserve">Share of Global GHG</w:t>
            </w:r>
          </w:p>
        </w:tc>
        <w:tc>
          <w:tcPr>
            <w:tcW w:type="dxa" w:w="1800"/>
            <w:shd w:fill="2F6F4F" w:val="clear"/>
          </w:tcPr>
          <w:p>
            <w:r>
              <w:rPr>
                <w:b/>
                <w:bCs/>
                <w:color w:val="FFFFFF"/>
                <w:sz w:val="19"/>
                <w:szCs w:val="19"/>
              </w:rPr>
              <w:t xml:space="preserve">YoY Change</w:t>
            </w:r>
          </w:p>
        </w:tc>
        <w:tc>
          <w:tcPr>
            <w:tcW w:type="dxa" w:w="2800"/>
            <w:shd w:fill="2F6F4F" w:val="clear"/>
          </w:tcPr>
          <w:p>
            <w:r>
              <w:rPr>
                <w:b/>
                <w:bCs/>
                <w:color w:val="FFFFFF"/>
                <w:sz w:val="19"/>
                <w:szCs w:val="19"/>
              </w:rPr>
              <w:t xml:space="preserve">Per-capita (tCO2e)</w:t>
            </w:r>
          </w:p>
        </w:tc>
      </w:tr>
      <w:tr>
        <w:tc>
          <w:tcPr>
            <w:tcW w:type="dxa" w:w="2600"/>
          </w:tcPr>
          <w:p>
            <w:r>
              <w:rPr>
                <w:sz w:val="19"/>
                <w:szCs w:val="19"/>
              </w:rPr>
              <w:t xml:space="preserve">China</w:t>
            </w:r>
          </w:p>
        </w:tc>
        <w:tc>
          <w:tcPr>
            <w:tcW w:type="dxa" w:w="1800"/>
          </w:tcPr>
          <w:p>
            <w:r>
              <w:rPr>
                <w:sz w:val="19"/>
                <w:szCs w:val="19"/>
              </w:rPr>
              <w:t xml:space="preserve">~30%</w:t>
            </w:r>
          </w:p>
        </w:tc>
        <w:tc>
          <w:tcPr>
            <w:tcW w:type="dxa" w:w="1800"/>
          </w:tcPr>
          <w:p>
            <w:r>
              <w:rPr>
                <w:sz w:val="19"/>
                <w:szCs w:val="19"/>
              </w:rPr>
              <w:t xml:space="preserve">+0.2% to +0.8%</w:t>
            </w:r>
          </w:p>
        </w:tc>
        <w:tc>
          <w:tcPr>
            <w:tcW w:type="dxa" w:w="2800"/>
          </w:tcPr>
          <w:p>
            <w:r>
              <w:rPr>
                <w:sz w:val="19"/>
                <w:szCs w:val="19"/>
              </w:rPr>
              <w:t xml:space="preserve">~10</w:t>
            </w:r>
          </w:p>
        </w:tc>
      </w:tr>
      <w:tr>
        <w:tc>
          <w:tcPr>
            <w:tcW w:type="dxa" w:w="2600"/>
          </w:tcPr>
          <w:p>
            <w:r>
              <w:rPr>
                <w:sz w:val="19"/>
                <w:szCs w:val="19"/>
              </w:rPr>
              <w:t xml:space="preserve">United States</w:t>
            </w:r>
          </w:p>
        </w:tc>
        <w:tc>
          <w:tcPr>
            <w:tcW w:type="dxa" w:w="1800"/>
          </w:tcPr>
          <w:p>
            <w:r>
              <w:rPr>
                <w:sz w:val="19"/>
                <w:szCs w:val="19"/>
              </w:rPr>
              <w:t xml:space="preserve">~12-14%</w:t>
            </w:r>
          </w:p>
        </w:tc>
        <w:tc>
          <w:tcPr>
            <w:tcW w:type="dxa" w:w="1800"/>
          </w:tcPr>
          <w:p>
            <w:r>
              <w:rPr>
                <w:sz w:val="19"/>
                <w:szCs w:val="19"/>
              </w:rPr>
              <w:t xml:space="preserve">-0.1% to -0.6%</w:t>
            </w:r>
          </w:p>
        </w:tc>
        <w:tc>
          <w:tcPr>
            <w:tcW w:type="dxa" w:w="2800"/>
          </w:tcPr>
          <w:p>
            <w:r>
              <w:rPr>
                <w:sz w:val="19"/>
                <w:szCs w:val="19"/>
              </w:rPr>
              <w:t xml:space="preserve">~17.5</w:t>
            </w:r>
          </w:p>
        </w:tc>
      </w:tr>
      <w:tr>
        <w:tc>
          <w:tcPr>
            <w:tcW w:type="dxa" w:w="2600"/>
          </w:tcPr>
          <w:p>
            <w:r>
              <w:rPr>
                <w:sz w:val="19"/>
                <w:szCs w:val="19"/>
              </w:rPr>
              <w:t xml:space="preserve">India</w:t>
            </w:r>
          </w:p>
        </w:tc>
        <w:tc>
          <w:tcPr>
            <w:tcW w:type="dxa" w:w="1800"/>
          </w:tcPr>
          <w:p>
            <w:r>
              <w:rPr>
                <w:sz w:val="19"/>
                <w:szCs w:val="19"/>
              </w:rPr>
              <w:t xml:space="preserve">~7-8%</w:t>
            </w:r>
          </w:p>
        </w:tc>
        <w:tc>
          <w:tcPr>
            <w:tcW w:type="dxa" w:w="1800"/>
          </w:tcPr>
          <w:p>
            <w:r>
              <w:rPr>
                <w:sz w:val="19"/>
                <w:szCs w:val="19"/>
              </w:rPr>
              <w:t xml:space="preserve">+3.9% to +4.6%</w:t>
            </w:r>
          </w:p>
        </w:tc>
        <w:tc>
          <w:tcPr>
            <w:tcW w:type="dxa" w:w="2800"/>
          </w:tcPr>
          <w:p>
            <w:r>
              <w:rPr>
                <w:sz w:val="19"/>
                <w:szCs w:val="19"/>
              </w:rPr>
              <w:t xml:space="preserve">~2.5</w:t>
            </w:r>
          </w:p>
        </w:tc>
      </w:tr>
      <w:tr>
        <w:tc>
          <w:tcPr>
            <w:tcW w:type="dxa" w:w="2600"/>
          </w:tcPr>
          <w:p>
            <w:r>
              <w:rPr>
                <w:sz w:val="19"/>
                <w:szCs w:val="19"/>
              </w:rPr>
              <w:t xml:space="preserve">European Union (27)</w:t>
            </w:r>
          </w:p>
        </w:tc>
        <w:tc>
          <w:tcPr>
            <w:tcW w:type="dxa" w:w="1800"/>
          </w:tcPr>
          <w:p>
            <w:r>
              <w:rPr>
                <w:sz w:val="19"/>
                <w:szCs w:val="19"/>
              </w:rPr>
              <w:t xml:space="preserve">~6-7%</w:t>
            </w:r>
          </w:p>
        </w:tc>
        <w:tc>
          <w:tcPr>
            <w:tcW w:type="dxa" w:w="1800"/>
          </w:tcPr>
          <w:p>
            <w:r>
              <w:rPr>
                <w:sz w:val="19"/>
                <w:szCs w:val="19"/>
              </w:rPr>
              <w:t xml:space="preserve">-1.8% to -3.8%</w:t>
            </w:r>
          </w:p>
        </w:tc>
        <w:tc>
          <w:tcPr>
            <w:tcW w:type="dxa" w:w="2800"/>
          </w:tcPr>
          <w:p>
            <w:r>
              <w:rPr>
                <w:sz w:val="19"/>
                <w:szCs w:val="19"/>
              </w:rPr>
              <w:t xml:space="preserve">~5.6</w:t>
            </w:r>
          </w:p>
        </w:tc>
      </w:tr>
      <w:tr>
        <w:tc>
          <w:tcPr>
            <w:tcW w:type="dxa" w:w="2600"/>
          </w:tcPr>
          <w:p>
            <w:r>
              <w:rPr>
                <w:sz w:val="19"/>
                <w:szCs w:val="19"/>
              </w:rPr>
              <w:t xml:space="preserve">Russia</w:t>
            </w:r>
          </w:p>
        </w:tc>
        <w:tc>
          <w:tcPr>
            <w:tcW w:type="dxa" w:w="1800"/>
          </w:tcPr>
          <w:p>
            <w:r>
              <w:rPr>
                <w:sz w:val="19"/>
                <w:szCs w:val="19"/>
              </w:rPr>
              <w:t xml:space="preserve">~4.8%</w:t>
            </w:r>
          </w:p>
        </w:tc>
        <w:tc>
          <w:tcPr>
            <w:tcW w:type="dxa" w:w="1800"/>
          </w:tcPr>
          <w:p>
            <w:r>
              <w:rPr>
                <w:sz w:val="19"/>
                <w:szCs w:val="19"/>
              </w:rPr>
              <w:t xml:space="preserve">+2.4%</w:t>
            </w:r>
          </w:p>
        </w:tc>
        <w:tc>
          <w:tcPr>
            <w:tcW w:type="dxa" w:w="2800"/>
          </w:tcPr>
          <w:p>
            <w:r>
              <w:rPr>
                <w:sz w:val="19"/>
                <w:szCs w:val="19"/>
              </w:rPr>
              <w:t xml:space="preserve">~14.1</w:t>
            </w:r>
          </w:p>
        </w:tc>
      </w:tr>
    </w:tbl>
    <w:p>
      <w:r>
        <w:rPr>
          <w:i/>
          <w:iCs/>
          <w:sz w:val="18"/>
          <w:szCs w:val="18"/>
        </w:rPr>
        <w:t xml:space="preserve">The G20 accounts for roughly 83% of global CO2 emissions. The top eight emitters (China, US, India, EU, Russia, Indonesia, Brazil, Japan) represent about 61-68% of global GHG emissions while holding roughly 55% of world population.</w:t>
      </w:r>
    </w:p>
    <w:p/>
    <w:p>
      <w:pPr>
        <w:pStyle w:val="Heading1"/>
      </w:pPr>
      <w:r>
        <w:t xml:space="preserve">5. Observed Impacts</w:t>
      </w:r>
    </w:p>
    <w:p>
      <w:pPr>
        <w:pStyle w:val="ListParagraph"/>
        <w:numPr>
          <w:ilvl w:val="0"/>
          <w:numId w:val="2"/>
        </w:numPr>
      </w:pPr>
      <w:r>
        <w:t xml:space="preserve">Global mean sea level rising ~3.3-4.5 mm/year since 1993 (accelerating)</w:t>
      </w:r>
    </w:p>
    <w:p>
      <w:pPr>
        <w:pStyle w:val="ListParagraph"/>
        <w:numPr>
          <w:ilvl w:val="0"/>
          <w:numId w:val="2"/>
        </w:numPr>
      </w:pPr>
      <w:r>
        <w:t xml:space="preserve">Arctic sea ice September minimum down to ~3.9-4.5 million km², from ~7.5-8 million km² in the early 1980s</w:t>
      </w:r>
    </w:p>
    <w:p>
      <w:pPr>
        <w:pStyle w:val="ListParagraph"/>
        <w:numPr>
          <w:ilvl w:val="0"/>
          <w:numId w:val="2"/>
        </w:numPr>
      </w:pPr>
      <w:r>
        <w:t xml:space="preserve">Oceans have absorbed over 90% of excess heat and ~25% of human CO2 emissions</w:t>
      </w:r>
    </w:p>
    <w:p>
      <w:pPr>
        <w:pStyle w:val="ListParagraph"/>
        <w:numPr>
          <w:ilvl w:val="0"/>
          <w:numId w:val="2"/>
        </w:numPr>
      </w:pPr>
      <w:r>
        <w:t xml:space="preserve">More frequent and intense heatwaves, droughts, and heavy rainfall events</w:t>
      </w:r>
    </w:p>
    <w:p>
      <w:pPr>
        <w:pStyle w:val="ListParagraph"/>
        <w:numPr>
          <w:ilvl w:val="0"/>
          <w:numId w:val="2"/>
        </w:numPr>
      </w:pPr>
      <w:r>
        <w:t xml:space="preserve">Ocean acidification stressing coral reefs and shell-forming marine organisms</w:t>
      </w:r>
    </w:p>
    <w:p/>
    <w:p>
      <w:pPr>
        <w:pStyle w:val="Heading1"/>
      </w:pPr>
      <w:r>
        <w:t xml:space="preserve">6. International Policy Framework, Through COP30</w:t>
      </w:r>
    </w:p>
    <w:p>
      <w:pPr>
        <w:pStyle w:val="ListParagraph"/>
        <w:numPr>
          <w:ilvl w:val="0"/>
          <w:numId w:val="2"/>
        </w:numPr>
      </w:pPr>
      <w:r>
        <w:t xml:space="preserve">UNFCCC (1992): Founding treaty establishing the international framework for climate cooperation.</w:t>
      </w:r>
    </w:p>
    <w:p>
      <w:pPr>
        <w:pStyle w:val="ListParagraph"/>
        <w:numPr>
          <w:ilvl w:val="0"/>
          <w:numId w:val="2"/>
        </w:numPr>
      </w:pPr>
      <w:r>
        <w:t xml:space="preserve">Kyoto Protocol (1997): First treaty to set binding emissions targets for developed nations.</w:t>
      </w:r>
    </w:p>
    <w:p>
      <w:pPr>
        <w:pStyle w:val="ListParagraph"/>
        <w:numPr>
          <w:ilvl w:val="0"/>
          <w:numId w:val="2"/>
        </w:numPr>
      </w:pPr>
      <w:r>
        <w:t xml:space="preserve">Paris Agreement (2015, COP21): Near-universal agreement to limit warming to well below 2°C, pursuing efforts toward 1.5°C.</w:t>
      </w:r>
    </w:p>
    <w:p>
      <w:pPr>
        <w:pStyle w:val="ListParagraph"/>
        <w:numPr>
          <w:ilvl w:val="0"/>
          <w:numId w:val="2"/>
        </w:numPr>
      </w:pPr>
      <w:r>
        <w:t xml:space="preserve">COP28 (2023, Dubai): First Global Stocktake concludes; first COP decision language on “transitioning away from fossil fuels”; pledge to triple global renewable capacity by 2030.</w:t>
      </w:r>
    </w:p>
    <w:p>
      <w:pPr>
        <w:pStyle w:val="ListParagraph"/>
        <w:numPr>
          <w:ilvl w:val="0"/>
          <w:numId w:val="2"/>
        </w:numPr>
      </w:pPr>
      <w:r>
        <w:t xml:space="preserve">COP29 (2024, Baku): New Collective Quantified Goal (NCQG) on climate finance agreed.</w:t>
      </w:r>
    </w:p>
    <w:p>
      <w:pPr>
        <w:pStyle w:val="ListParagraph"/>
        <w:numPr>
          <w:ilvl w:val="0"/>
          <w:numId w:val="2"/>
        </w:numPr>
      </w:pPr>
      <w:r>
        <w:t xml:space="preserve">COP30 (2025, Belem, Brazil, Nov 10-22): 195 Parties adopted the “Belem Package,” including a pledge to triple adaptation finance by 2035, a new Just Transition Mechanism, a ~$6.6bn tropical forest fund, and 122+ new or updated national climate plans (NDCs). A binding fossil-fuel phase-out roadmap was proposed but not adopted after opposition from roughly 84 countries; key technical work was deferred to Bonn talks in 2026.</w:t>
      </w:r>
    </w:p>
    <w:p/>
    <w:p>
      <w:pPr>
        <w:pStyle w:val="Heading1"/>
      </w:pPr>
      <w:r>
        <w:t xml:space="preserve">7. The Energy Transition (2024)</w:t>
      </w:r>
    </w:p>
    <w:p>
      <w:pPr>
        <w:pStyle w:val="ListParagraph"/>
        <w:numPr>
          <w:ilvl w:val="0"/>
          <w:numId w:val="2"/>
        </w:numPr>
      </w:pPr>
      <w:r>
        <w:t xml:space="preserve">Global renewable power capacity grew by a record 582-585 GW (+15.1% YoY), reaching ~4,448 GW total (~46% of global power capacity).</w:t>
      </w:r>
    </w:p>
    <w:p>
      <w:pPr>
        <w:pStyle w:val="ListParagraph"/>
        <w:numPr>
          <w:ilvl w:val="0"/>
          <w:numId w:val="2"/>
        </w:numPr>
      </w:pPr>
      <w:r>
        <w:t xml:space="preserve">Solar PV added ~452-453 GW; wind added ~113-114 GW — together 96-97% of net renewable growth.</w:t>
      </w:r>
    </w:p>
    <w:p>
      <w:pPr>
        <w:pStyle w:val="ListParagraph"/>
        <w:numPr>
          <w:ilvl w:val="0"/>
          <w:numId w:val="2"/>
        </w:numPr>
      </w:pPr>
      <w:r>
        <w:t xml:space="preserve">China installed nearly 64% of the world's new renewable capacity in 2024.</w:t>
      </w:r>
    </w:p>
    <w:p>
      <w:pPr>
        <w:pStyle w:val="ListParagraph"/>
        <w:numPr>
          <w:ilvl w:val="0"/>
          <w:numId w:val="2"/>
        </w:numPr>
      </w:pPr>
      <w:r>
        <w:t xml:space="preserve">IRENA: the world remains short of the 11.2 TW needed by 2030 to meet the COP28 tripling pledge; ~16.6% annual growth is required through 2030.</w:t>
      </w:r>
    </w:p>
    <w:p/>
    <w:p>
      <w:pPr>
        <w:pStyle w:val="Heading1"/>
      </w:pPr>
      <w:r>
        <w:t xml:space="preserve">8. Mitigation and Adaptation</w:t>
      </w:r>
    </w:p>
    <w:p>
      <w:r>
        <w:rPr>
          <w:b/>
          <w:bCs/>
        </w:rPr>
        <w:t xml:space="preserve">Mitigation (reducing emissions): </w:t>
      </w:r>
      <w:r>
        <w:t xml:space="preserve">renewable energy adoption, energy efficiency, electrification of transport and heating, forest protection, methane leak reduction, carbon pricing, and carbon capture and storage (CCUS).</w:t>
      </w:r>
    </w:p>
    <w:p>
      <w:r>
        <w:rPr>
          <w:b/>
          <w:bCs/>
        </w:rPr>
        <w:t xml:space="preserve">Adaptation (managing impacts): </w:t>
      </w:r>
      <w:r>
        <w:t xml:space="preserve">resilient infrastructure, drought- and flood-resistant agriculture, early warning systems, coastal protection, and adaptation finance (pledged to triple by 2035 at COP30).</w:t>
      </w:r>
    </w:p>
    <w:p/>
    <w:p>
      <w:pPr>
        <w:pStyle w:val="Heading1"/>
      </w:pPr>
      <w:r>
        <w:t xml:space="preserve">9. Relevance to Risk Management</w:t>
      </w:r>
    </w:p>
    <w:p>
      <w:r>
        <w:t xml:space="preserve">Financial institutions increasingly assess physical risk (direct damage from climate events — heat stress, flooding, sea level rise) and transition risk (impacts from policy, carbon pricing, and technology shifts as economies decarbonize) as part of enterprise and credit risk frameworks. Disclosure expectations building on the former Task Force on Climate-related Financial Disclosures (TCFD) — now consolidated into the IFRS Sustainability Disclosure Standards — are increasingly used by regulators and central banks in stress testing and climate scenario analysis.</w:t>
      </w:r>
    </w:p>
    <w:p/>
    <w:p>
      <w:r>
        <w:rPr>
          <w:i/>
          <w:iCs/>
          <w:color w:val="999999"/>
          <w:sz w:val="16"/>
          <w:szCs w:val="16"/>
        </w:rPr>
        <w:t xml:space="preserve">This is a sample document generated for testing multi-format document ingestion in a chatbot pipeline. Figures are compiled from public 2024-2026 reporting (NOAA, WMO, IRENA, IEA, EDGAR, UNFCCC); some values are rounded or given as ranges and should not be used for primary scientific or regulatory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2026-09-22T21:08:45.207Z</dcterms:created>
  <dcterms:modified xsi:type="dcterms:W3CDTF">2026-09-22T21:08:45.215Z</dcterms:modified>
</cp:coreProperties>
</file>

<file path=docProps/custom.xml><?xml version="1.0" encoding="utf-8"?>
<Properties xmlns="http://schemas.openxmlformats.org/officeDocument/2006/custom-properties" xmlns:vt="http://schemas.openxmlformats.org/officeDocument/2006/docPropsVTypes"/>
</file>