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Desktop on your Personal laptop: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https://docs.docker.com/desktop/install/windows-install/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Once you install docker desktop -&gt; open docker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Enable Kubernetes from setting: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7058220" cy="256769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220" cy="2567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takes 2-3 minutes to enable Kubernetes. Once enabled successfully, open PowerShell or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command prompt as admin and run Kubernetes commands: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14960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Also you can access deployed Kubernetes Application dashboard from browser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Syntax: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http://localhost:&lt;NodePort</w:t>
        </w:r>
      </w:hyperlink>
      <w:r w:rsidDel="00000000" w:rsidR="00000000" w:rsidRPr="00000000">
        <w:rPr>
          <w:rtl w:val="0"/>
        </w:rPr>
        <w:t xml:space="preserve"> Port&gt;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 in my case NodePort value is 31712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1784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***Note: you won’t be be able to create Service type as LoadBalancer, you can create only NodePort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C2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C284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docker.com/desktop/install/windows-instal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x4WuQqwxpStqf4au14Tn5RlbVQ==">AMUW2mVhy4Eraqt02tBdqHreenq6JTMq78Fez6p8oj3CVlfrSiGnrEkzK0EqR1z9ju+C+i0QYgT2hXf320+9HXl32UEGbqZA8KOs9+sYmR/vHL7R79zfmDs=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2023-02-03T14:19:00Z</dcterms:created>
  <dc:creator>Waikar, Prakash Kumar (DI PA SW DOE 1)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2023-02-03T14:19:37Z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16d9f6e9-bec1-4c40-b12f-2f8b887b1b87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