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Supplementary Material</w:t>
      </w:r>
    </w:p>
    <w:p w:rsidR="00000000" w:rsidDel="00000000" w:rsidP="00000000" w:rsidRDefault="00000000" w:rsidRPr="00000000" w14:paraId="00000002">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Cortical surfaces mediate the relationship between polygenic scores for intelligence and general intelligence</w:t>
      </w:r>
    </w:p>
    <w:p w:rsidR="00000000" w:rsidDel="00000000" w:rsidP="00000000" w:rsidRDefault="00000000" w:rsidRPr="00000000" w14:paraId="00000003">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Tristram A. Lett</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Bob O. Vogel</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Stephan Ripke</w:t>
      </w:r>
      <w:r w:rsidDel="00000000" w:rsidR="00000000" w:rsidRPr="00000000">
        <w:rPr>
          <w:rFonts w:ascii="Times New Roman" w:cs="Times New Roman" w:eastAsia="Times New Roman" w:hAnsi="Times New Roman"/>
          <w:vertAlign w:val="superscript"/>
          <w:rtl w:val="0"/>
        </w:rPr>
        <w:t xml:space="preserve">1,2,3</w:t>
      </w:r>
      <w:r w:rsidDel="00000000" w:rsidR="00000000" w:rsidRPr="00000000">
        <w:rPr>
          <w:rFonts w:ascii="Times New Roman" w:cs="Times New Roman" w:eastAsia="Times New Roman" w:hAnsi="Times New Roman"/>
          <w:rtl w:val="0"/>
        </w:rPr>
        <w:t xml:space="preserve">, Carolin Wackerhagen</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Susanne Erk</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Swapnil Awasthi</w:t>
      </w:r>
      <w:r w:rsidDel="00000000" w:rsidR="00000000" w:rsidRPr="00000000">
        <w:rPr>
          <w:rFonts w:ascii="Times New Roman" w:cs="Times New Roman" w:eastAsia="Times New Roman" w:hAnsi="Times New Roman"/>
          <w:vertAlign w:val="superscript"/>
          <w:rtl w:val="0"/>
        </w:rPr>
        <w:t xml:space="preserve">1,3</w:t>
      </w:r>
      <w:r w:rsidDel="00000000" w:rsidR="00000000" w:rsidRPr="00000000">
        <w:rPr>
          <w:rFonts w:ascii="Times New Roman" w:cs="Times New Roman" w:eastAsia="Times New Roman" w:hAnsi="Times New Roman"/>
          <w:rtl w:val="0"/>
        </w:rPr>
        <w:t xml:space="preserve">, Vassily Trubetskoy</w:t>
      </w:r>
      <w:r w:rsidDel="00000000" w:rsidR="00000000" w:rsidRPr="00000000">
        <w:rPr>
          <w:rFonts w:ascii="Times New Roman" w:cs="Times New Roman" w:eastAsia="Times New Roman" w:hAnsi="Times New Roman"/>
          <w:vertAlign w:val="superscript"/>
          <w:rtl w:val="0"/>
        </w:rPr>
        <w:t xml:space="preserve">1,3</w:t>
      </w:r>
      <w:r w:rsidDel="00000000" w:rsidR="00000000" w:rsidRPr="00000000">
        <w:rPr>
          <w:rFonts w:ascii="Times New Roman" w:cs="Times New Roman" w:eastAsia="Times New Roman" w:hAnsi="Times New Roman"/>
          <w:rtl w:val="0"/>
        </w:rPr>
        <w:t xml:space="preserve">, Eva J. Brandl</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Sebastian Mohnke</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Ilya M. Veer</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Markus M. Nöthen</w:t>
      </w:r>
      <w:r w:rsidDel="00000000" w:rsidR="00000000" w:rsidRPr="00000000">
        <w:rPr>
          <w:rFonts w:ascii="Times New Roman" w:cs="Times New Roman" w:eastAsia="Times New Roman" w:hAnsi="Times New Roman"/>
          <w:vertAlign w:val="superscript"/>
          <w:rtl w:val="0"/>
        </w:rPr>
        <w:t xml:space="preserve">4,5</w:t>
      </w:r>
      <w:r w:rsidDel="00000000" w:rsidR="00000000" w:rsidRPr="00000000">
        <w:rPr>
          <w:rFonts w:ascii="Times New Roman" w:cs="Times New Roman" w:eastAsia="Times New Roman" w:hAnsi="Times New Roman"/>
          <w:rtl w:val="0"/>
        </w:rPr>
        <w:t xml:space="preserve">, Marcella Rietschel</w:t>
      </w: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 Franziska Degenhardt</w:t>
      </w:r>
      <w:r w:rsidDel="00000000" w:rsidR="00000000" w:rsidRPr="00000000">
        <w:rPr>
          <w:rFonts w:ascii="Times New Roman" w:cs="Times New Roman" w:eastAsia="Times New Roman" w:hAnsi="Times New Roman"/>
          <w:vertAlign w:val="superscript"/>
          <w:rtl w:val="0"/>
        </w:rPr>
        <w:t xml:space="preserve">4,5</w:t>
      </w:r>
      <w:r w:rsidDel="00000000" w:rsidR="00000000" w:rsidRPr="00000000">
        <w:rPr>
          <w:rFonts w:ascii="Times New Roman" w:cs="Times New Roman" w:eastAsia="Times New Roman" w:hAnsi="Times New Roman"/>
          <w:rtl w:val="0"/>
        </w:rPr>
        <w:t xml:space="preserve">, Nina Romanczuk-Seiferth</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Stephanie H. Witt</w:t>
      </w: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 Tobias Banaschewski</w:t>
      </w:r>
      <w:r w:rsidDel="00000000" w:rsidR="00000000" w:rsidRPr="00000000">
        <w:rPr>
          <w:rFonts w:ascii="Times New Roman" w:cs="Times New Roman" w:eastAsia="Times New Roman" w:hAnsi="Times New Roman"/>
          <w:vertAlign w:val="superscript"/>
          <w:rtl w:val="0"/>
        </w:rPr>
        <w:t xml:space="preserve">7</w:t>
      </w:r>
      <w:r w:rsidDel="00000000" w:rsidR="00000000" w:rsidRPr="00000000">
        <w:rPr>
          <w:rFonts w:ascii="Times New Roman" w:cs="Times New Roman" w:eastAsia="Times New Roman" w:hAnsi="Times New Roman"/>
          <w:rtl w:val="0"/>
        </w:rPr>
        <w:t xml:space="preserve">, Arun L.W. Bokde</w:t>
      </w:r>
      <w:r w:rsidDel="00000000" w:rsidR="00000000" w:rsidRPr="00000000">
        <w:rPr>
          <w:rFonts w:ascii="Times New Roman" w:cs="Times New Roman" w:eastAsia="Times New Roman" w:hAnsi="Times New Roman"/>
          <w:vertAlign w:val="superscript"/>
          <w:rtl w:val="0"/>
        </w:rPr>
        <w:t xml:space="preserve">8</w:t>
      </w:r>
      <w:r w:rsidDel="00000000" w:rsidR="00000000" w:rsidRPr="00000000">
        <w:rPr>
          <w:rFonts w:ascii="Times New Roman" w:cs="Times New Roman" w:eastAsia="Times New Roman" w:hAnsi="Times New Roman"/>
          <w:rtl w:val="0"/>
        </w:rPr>
        <w:t xml:space="preserve">, Christian Büchel</w:t>
      </w:r>
      <w:r w:rsidDel="00000000" w:rsidR="00000000" w:rsidRPr="00000000">
        <w:rPr>
          <w:rFonts w:ascii="Times New Roman" w:cs="Times New Roman" w:eastAsia="Times New Roman" w:hAnsi="Times New Roman"/>
          <w:vertAlign w:val="superscript"/>
          <w:rtl w:val="0"/>
        </w:rPr>
        <w:t xml:space="preserve">9</w:t>
      </w:r>
      <w:r w:rsidDel="00000000" w:rsidR="00000000" w:rsidRPr="00000000">
        <w:rPr>
          <w:rFonts w:ascii="Times New Roman" w:cs="Times New Roman" w:eastAsia="Times New Roman" w:hAnsi="Times New Roman"/>
          <w:rtl w:val="0"/>
        </w:rPr>
        <w:t xml:space="preserve">, Erin B. Quinlan</w:t>
      </w:r>
      <w:r w:rsidDel="00000000" w:rsidR="00000000" w:rsidRPr="00000000">
        <w:rPr>
          <w:rFonts w:ascii="Times New Roman" w:cs="Times New Roman" w:eastAsia="Times New Roman" w:hAnsi="Times New Roman"/>
          <w:vertAlign w:val="superscript"/>
          <w:rtl w:val="0"/>
        </w:rPr>
        <w:t xml:space="preserve">10</w:t>
      </w:r>
      <w:r w:rsidDel="00000000" w:rsidR="00000000" w:rsidRPr="00000000">
        <w:rPr>
          <w:rFonts w:ascii="Times New Roman" w:cs="Times New Roman" w:eastAsia="Times New Roman" w:hAnsi="Times New Roman"/>
          <w:rtl w:val="0"/>
        </w:rPr>
        <w:t xml:space="preserve">, Sylvane Desrivières</w:t>
      </w:r>
      <w:r w:rsidDel="00000000" w:rsidR="00000000" w:rsidRPr="00000000">
        <w:rPr>
          <w:rFonts w:ascii="Times New Roman" w:cs="Times New Roman" w:eastAsia="Times New Roman" w:hAnsi="Times New Roman"/>
          <w:vertAlign w:val="superscript"/>
          <w:rtl w:val="0"/>
        </w:rPr>
        <w:t xml:space="preserve">10</w:t>
      </w:r>
      <w:r w:rsidDel="00000000" w:rsidR="00000000" w:rsidRPr="00000000">
        <w:rPr>
          <w:rFonts w:ascii="Times New Roman" w:cs="Times New Roman" w:eastAsia="Times New Roman" w:hAnsi="Times New Roman"/>
          <w:rtl w:val="0"/>
        </w:rPr>
        <w:t xml:space="preserve">, Herta Flor</w:t>
      </w:r>
      <w:r w:rsidDel="00000000" w:rsidR="00000000" w:rsidRPr="00000000">
        <w:rPr>
          <w:rFonts w:ascii="Times New Roman" w:cs="Times New Roman" w:eastAsia="Times New Roman" w:hAnsi="Times New Roman"/>
          <w:vertAlign w:val="superscript"/>
          <w:rtl w:val="0"/>
        </w:rPr>
        <w:t xml:space="preserve">11,12</w:t>
      </w:r>
      <w:r w:rsidDel="00000000" w:rsidR="00000000" w:rsidRPr="00000000">
        <w:rPr>
          <w:rFonts w:ascii="Times New Roman" w:cs="Times New Roman" w:eastAsia="Times New Roman" w:hAnsi="Times New Roman"/>
          <w:rtl w:val="0"/>
        </w:rPr>
        <w:t xml:space="preserve">, Vincent Frouin</w:t>
      </w:r>
      <w:r w:rsidDel="00000000" w:rsidR="00000000" w:rsidRPr="00000000">
        <w:rPr>
          <w:rFonts w:ascii="Times New Roman" w:cs="Times New Roman" w:eastAsia="Times New Roman" w:hAnsi="Times New Roman"/>
          <w:vertAlign w:val="superscript"/>
          <w:rtl w:val="0"/>
        </w:rPr>
        <w:t xml:space="preserve">13</w:t>
      </w:r>
      <w:r w:rsidDel="00000000" w:rsidR="00000000" w:rsidRPr="00000000">
        <w:rPr>
          <w:rFonts w:ascii="Times New Roman" w:cs="Times New Roman" w:eastAsia="Times New Roman" w:hAnsi="Times New Roman"/>
          <w:rtl w:val="0"/>
        </w:rPr>
        <w:t xml:space="preserve">, Hugh Garavan</w:t>
      </w:r>
      <w:r w:rsidDel="00000000" w:rsidR="00000000" w:rsidRPr="00000000">
        <w:rPr>
          <w:rFonts w:ascii="Times New Roman" w:cs="Times New Roman" w:eastAsia="Times New Roman" w:hAnsi="Times New Roman"/>
          <w:vertAlign w:val="superscript"/>
          <w:rtl w:val="0"/>
        </w:rPr>
        <w:t xml:space="preserve">14</w:t>
      </w:r>
      <w:r w:rsidDel="00000000" w:rsidR="00000000" w:rsidRPr="00000000">
        <w:rPr>
          <w:rFonts w:ascii="Times New Roman" w:cs="Times New Roman" w:eastAsia="Times New Roman" w:hAnsi="Times New Roman"/>
          <w:rtl w:val="0"/>
        </w:rPr>
        <w:t xml:space="preserve">, Penny Gowland</w:t>
      </w: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 Bernd Ittermann</w:t>
      </w:r>
      <w:r w:rsidDel="00000000" w:rsidR="00000000" w:rsidRPr="00000000">
        <w:rPr>
          <w:rFonts w:ascii="Times New Roman" w:cs="Times New Roman" w:eastAsia="Times New Roman" w:hAnsi="Times New Roman"/>
          <w:vertAlign w:val="superscript"/>
          <w:rtl w:val="0"/>
        </w:rPr>
        <w:t xml:space="preserve">16</w:t>
      </w:r>
      <w:r w:rsidDel="00000000" w:rsidR="00000000" w:rsidRPr="00000000">
        <w:rPr>
          <w:rFonts w:ascii="Times New Roman" w:cs="Times New Roman" w:eastAsia="Times New Roman" w:hAnsi="Times New Roman"/>
          <w:rtl w:val="0"/>
        </w:rPr>
        <w:t xml:space="preserve">, Jean-Luc Martinot</w:t>
      </w:r>
      <w:r w:rsidDel="00000000" w:rsidR="00000000" w:rsidRPr="00000000">
        <w:rPr>
          <w:rFonts w:ascii="Times New Roman" w:cs="Times New Roman" w:eastAsia="Times New Roman" w:hAnsi="Times New Roman"/>
          <w:vertAlign w:val="superscript"/>
          <w:rtl w:val="0"/>
        </w:rPr>
        <w:t xml:space="preserve">17</w:t>
      </w:r>
      <w:r w:rsidDel="00000000" w:rsidR="00000000" w:rsidRPr="00000000">
        <w:rPr>
          <w:rFonts w:ascii="Times New Roman" w:cs="Times New Roman" w:eastAsia="Times New Roman" w:hAnsi="Times New Roman"/>
          <w:rtl w:val="0"/>
        </w:rPr>
        <w:t xml:space="preserve">, Marie-Laure Paillère Martinot</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rtl w:val="0"/>
        </w:rPr>
        <w:t xml:space="preserve">, Frauke Nees</w:t>
      </w:r>
      <w:r w:rsidDel="00000000" w:rsidR="00000000" w:rsidRPr="00000000">
        <w:rPr>
          <w:rFonts w:ascii="Times New Roman" w:cs="Times New Roman" w:eastAsia="Times New Roman" w:hAnsi="Times New Roman"/>
          <w:vertAlign w:val="superscript"/>
          <w:rtl w:val="0"/>
        </w:rPr>
        <w:t xml:space="preserve">7,11</w:t>
      </w:r>
      <w:r w:rsidDel="00000000" w:rsidR="00000000" w:rsidRPr="00000000">
        <w:rPr>
          <w:rFonts w:ascii="Times New Roman" w:cs="Times New Roman" w:eastAsia="Times New Roman" w:hAnsi="Times New Roman"/>
          <w:rtl w:val="0"/>
        </w:rPr>
        <w:t xml:space="preserve">, Dimitri Papadopoulos Orfanos</w:t>
      </w:r>
      <w:r w:rsidDel="00000000" w:rsidR="00000000" w:rsidRPr="00000000">
        <w:rPr>
          <w:rFonts w:ascii="Times New Roman" w:cs="Times New Roman" w:eastAsia="Times New Roman" w:hAnsi="Times New Roman"/>
          <w:vertAlign w:val="superscript"/>
          <w:rtl w:val="0"/>
        </w:rPr>
        <w:t xml:space="preserve">13</w:t>
      </w:r>
      <w:r w:rsidDel="00000000" w:rsidR="00000000" w:rsidRPr="00000000">
        <w:rPr>
          <w:rFonts w:ascii="Times New Roman" w:cs="Times New Roman" w:eastAsia="Times New Roman" w:hAnsi="Times New Roman"/>
          <w:rtl w:val="0"/>
        </w:rPr>
        <w:t xml:space="preserve">, Tomáš Paus</w:t>
      </w:r>
      <w:r w:rsidDel="00000000" w:rsidR="00000000" w:rsidRPr="00000000">
        <w:rPr>
          <w:rFonts w:ascii="Times New Roman" w:cs="Times New Roman" w:eastAsia="Times New Roman" w:hAnsi="Times New Roman"/>
          <w:vertAlign w:val="superscript"/>
          <w:rtl w:val="0"/>
        </w:rPr>
        <w:t xml:space="preserve">19</w:t>
      </w:r>
      <w:r w:rsidDel="00000000" w:rsidR="00000000" w:rsidRPr="00000000">
        <w:rPr>
          <w:rFonts w:ascii="Times New Roman" w:cs="Times New Roman" w:eastAsia="Times New Roman" w:hAnsi="Times New Roman"/>
          <w:rtl w:val="0"/>
        </w:rPr>
        <w:t xml:space="preserve">, Luise Poustka</w:t>
      </w:r>
      <w:r w:rsidDel="00000000" w:rsidR="00000000" w:rsidRPr="00000000">
        <w:rPr>
          <w:rFonts w:ascii="Times New Roman" w:cs="Times New Roman" w:eastAsia="Times New Roman" w:hAnsi="Times New Roman"/>
          <w:vertAlign w:val="superscript"/>
          <w:rtl w:val="0"/>
        </w:rPr>
        <w:t xml:space="preserve">20</w:t>
      </w:r>
      <w:r w:rsidDel="00000000" w:rsidR="00000000" w:rsidRPr="00000000">
        <w:rPr>
          <w:rFonts w:ascii="Times New Roman" w:cs="Times New Roman" w:eastAsia="Times New Roman" w:hAnsi="Times New Roman"/>
          <w:rtl w:val="0"/>
        </w:rPr>
        <w:t xml:space="preserve">, Juliane H. Fröhner</w:t>
      </w:r>
      <w:r w:rsidDel="00000000" w:rsidR="00000000" w:rsidRPr="00000000">
        <w:rPr>
          <w:rFonts w:ascii="Times New Roman" w:cs="Times New Roman" w:eastAsia="Times New Roman" w:hAnsi="Times New Roman"/>
          <w:vertAlign w:val="superscript"/>
          <w:rtl w:val="0"/>
        </w:rPr>
        <w:t xml:space="preserve">21</w:t>
      </w:r>
      <w:r w:rsidDel="00000000" w:rsidR="00000000" w:rsidRPr="00000000">
        <w:rPr>
          <w:rFonts w:ascii="Times New Roman" w:cs="Times New Roman" w:eastAsia="Times New Roman" w:hAnsi="Times New Roman"/>
          <w:rtl w:val="0"/>
        </w:rPr>
        <w:t xml:space="preserve">, Michael N. Smolka</w:t>
      </w:r>
      <w:r w:rsidDel="00000000" w:rsidR="00000000" w:rsidRPr="00000000">
        <w:rPr>
          <w:rFonts w:ascii="Times New Roman" w:cs="Times New Roman" w:eastAsia="Times New Roman" w:hAnsi="Times New Roman"/>
          <w:vertAlign w:val="superscript"/>
          <w:rtl w:val="0"/>
        </w:rPr>
        <w:t xml:space="preserve">21</w:t>
      </w:r>
      <w:r w:rsidDel="00000000" w:rsidR="00000000" w:rsidRPr="00000000">
        <w:rPr>
          <w:rFonts w:ascii="Times New Roman" w:cs="Times New Roman" w:eastAsia="Times New Roman" w:hAnsi="Times New Roman"/>
          <w:rtl w:val="0"/>
        </w:rPr>
        <w:t xml:space="preserve">, Robert Whelan</w:t>
      </w:r>
      <w:r w:rsidDel="00000000" w:rsidR="00000000" w:rsidRPr="00000000">
        <w:rPr>
          <w:rFonts w:ascii="Times New Roman" w:cs="Times New Roman" w:eastAsia="Times New Roman" w:hAnsi="Times New Roman"/>
          <w:vertAlign w:val="superscript"/>
          <w:rtl w:val="0"/>
        </w:rPr>
        <w:t xml:space="preserve">22</w:t>
      </w:r>
      <w:r w:rsidDel="00000000" w:rsidR="00000000" w:rsidRPr="00000000">
        <w:rPr>
          <w:rFonts w:ascii="Times New Roman" w:cs="Times New Roman" w:eastAsia="Times New Roman" w:hAnsi="Times New Roman"/>
          <w:rtl w:val="0"/>
        </w:rPr>
        <w:t xml:space="preserve">, Gunter Schumann</w:t>
      </w:r>
      <w:r w:rsidDel="00000000" w:rsidR="00000000" w:rsidRPr="00000000">
        <w:rPr>
          <w:rFonts w:ascii="Times New Roman" w:cs="Times New Roman" w:eastAsia="Times New Roman" w:hAnsi="Times New Roman"/>
          <w:vertAlign w:val="superscript"/>
          <w:rtl w:val="0"/>
        </w:rPr>
        <w:t xml:space="preserve">10</w:t>
      </w:r>
      <w:r w:rsidDel="00000000" w:rsidR="00000000" w:rsidRPr="00000000">
        <w:rPr>
          <w:rFonts w:ascii="Times New Roman" w:cs="Times New Roman" w:eastAsia="Times New Roman" w:hAnsi="Times New Roman"/>
          <w:rtl w:val="0"/>
        </w:rPr>
        <w:t xml:space="preserve"> and the IMAGEN consortium, Heike Tost</w:t>
      </w: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 Andreas Meyer-Lindenberg</w:t>
      </w: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 Andreas Heinz</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Henrik Walter</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5">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Shared first authorship</w:t>
      </w:r>
    </w:p>
    <w:p w:rsidR="00000000" w:rsidDel="00000000" w:rsidP="00000000" w:rsidRDefault="00000000" w:rsidRPr="00000000" w14:paraId="00000007">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Corresponding authors:</w:t>
      </w:r>
    </w:p>
    <w:p w:rsidR="00000000" w:rsidDel="00000000" w:rsidP="00000000" w:rsidRDefault="00000000" w:rsidRPr="00000000" w14:paraId="00000008">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 Division of Mind and Brain Research, Department of Psychiatry and Psychotherapy CCM, Charité - Universitätsmedizin Berlin; Charitéplatz 1, D-10117 Berlin, Germany.</w:t>
      </w:r>
    </w:p>
    <w:p w:rsidR="00000000" w:rsidDel="00000000" w:rsidP="00000000" w:rsidRDefault="00000000" w:rsidRPr="00000000" w14:paraId="00000009">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w:t>
      </w:r>
      <w:hyperlink r:id="rId6">
        <w:r w:rsidDel="00000000" w:rsidR="00000000" w:rsidRPr="00000000">
          <w:rPr>
            <w:rFonts w:ascii="Times New Roman" w:cs="Times New Roman" w:eastAsia="Times New Roman" w:hAnsi="Times New Roman"/>
            <w:u w:val="single"/>
            <w:rtl w:val="0"/>
          </w:rPr>
          <w:t xml:space="preserve">tristram.lett@charite.de</w:t>
        </w:r>
      </w:hyperlink>
      <w:r w:rsidDel="00000000" w:rsidR="00000000" w:rsidRPr="00000000">
        <w:rPr>
          <w:rFonts w:ascii="Times New Roman" w:cs="Times New Roman" w:eastAsia="Times New Roman" w:hAnsi="Times New Roman"/>
          <w:rtl w:val="0"/>
        </w:rPr>
        <w:t xml:space="preserve">; </w:t>
      </w:r>
      <w:hyperlink r:id="rId7">
        <w:r w:rsidDel="00000000" w:rsidR="00000000" w:rsidRPr="00000000">
          <w:rPr>
            <w:rFonts w:ascii="Times New Roman" w:cs="Times New Roman" w:eastAsia="Times New Roman" w:hAnsi="Times New Roman"/>
            <w:u w:val="single"/>
            <w:rtl w:val="0"/>
          </w:rPr>
          <w:t xml:space="preserve">henrik.walter@charite.de</w:t>
        </w:r>
      </w:hyperlink>
      <w:r w:rsidDel="00000000" w:rsidR="00000000" w:rsidRPr="00000000">
        <w:rPr>
          <w:rtl w:val="0"/>
        </w:rPr>
      </w:r>
    </w:p>
    <w:p w:rsidR="00000000" w:rsidDel="00000000" w:rsidP="00000000" w:rsidRDefault="00000000" w:rsidRPr="00000000" w14:paraId="0000000A">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Telephone: +49 30 450 517 141</w:t>
      </w:r>
    </w:p>
    <w:p w:rsidR="00000000" w:rsidDel="00000000" w:rsidP="00000000" w:rsidRDefault="00000000" w:rsidRPr="00000000" w14:paraId="0000000B">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Running title</w:t>
      </w:r>
      <w:r w:rsidDel="00000000" w:rsidR="00000000" w:rsidRPr="00000000">
        <w:rPr>
          <w:rFonts w:ascii="Times New Roman" w:cs="Times New Roman" w:eastAsia="Times New Roman" w:hAnsi="Times New Roman"/>
          <w:rtl w:val="0"/>
        </w:rPr>
        <w:t xml:space="preserve">: Brain mediators of polygenic score for intelligence </w:t>
      </w:r>
      <w:r w:rsidDel="00000000" w:rsidR="00000000" w:rsidRPr="00000000">
        <w:rPr>
          <w:rtl w:val="0"/>
        </w:rPr>
      </w:r>
    </w:p>
    <w:p w:rsidR="00000000" w:rsidDel="00000000" w:rsidP="00000000" w:rsidRDefault="00000000" w:rsidRPr="00000000" w14:paraId="0000000E">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w:t>
      </w:r>
      <w:r w:rsidDel="00000000" w:rsidR="00000000" w:rsidRPr="00000000">
        <w:rPr>
          <w:rFonts w:ascii="Times New Roman" w:cs="Times New Roman" w:eastAsia="Times New Roman" w:hAnsi="Times New Roman"/>
          <w:rtl w:val="0"/>
        </w:rPr>
        <w:t xml:space="preserve">: Intelligence, Genetics, Mediation, Cortical thickness, Surface area</w:t>
        <w:tab/>
      </w:r>
      <w:r w:rsidDel="00000000" w:rsidR="00000000" w:rsidRPr="00000000">
        <w:rPr>
          <w:rtl w:val="0"/>
        </w:rPr>
      </w:r>
    </w:p>
    <w:p w:rsidR="00000000" w:rsidDel="00000000" w:rsidP="00000000" w:rsidRDefault="00000000" w:rsidRPr="00000000" w14:paraId="0000000F">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Department of Psychiatry and Psychotherapy CCM, Charité - Universitätsmedizin Berlin, corporate member of Freie Universität Berlin, Humboldt-Universität zu Berlin, and Berlin Institute of Health, Berlin, Germany</w:t>
      </w:r>
    </w:p>
    <w:p w:rsidR="00000000" w:rsidDel="00000000" w:rsidP="00000000" w:rsidRDefault="00000000" w:rsidRPr="00000000" w14:paraId="0000001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 </w:t>
      </w:r>
      <w:r w:rsidDel="00000000" w:rsidR="00000000" w:rsidRPr="00000000">
        <w:rPr>
          <w:rFonts w:ascii="Times New Roman" w:cs="Times New Roman" w:eastAsia="Times New Roman" w:hAnsi="Times New Roman"/>
          <w:color w:val="202020"/>
          <w:rtl w:val="0"/>
        </w:rPr>
        <w:t xml:space="preserve">Analytic and Translational Genetics Unit, Massachusetts General Hospital, Boston MA 02114, USA</w:t>
      </w:r>
      <w:r w:rsidDel="00000000" w:rsidR="00000000" w:rsidRPr="00000000">
        <w:rPr>
          <w:rtl w:val="0"/>
        </w:rPr>
      </w:r>
    </w:p>
    <w:p w:rsidR="00000000" w:rsidDel="00000000" w:rsidP="00000000" w:rsidRDefault="00000000" w:rsidRPr="00000000" w14:paraId="00000012">
      <w:pPr>
        <w:spacing w:line="240" w:lineRule="auto"/>
        <w:jc w:val="both"/>
        <w:rPr>
          <w:rFonts w:ascii="Times New Roman" w:cs="Times New Roman" w:eastAsia="Times New Roman" w:hAnsi="Times New Roman"/>
          <w:color w:val="202020"/>
        </w:rPr>
      </w:pPr>
      <w:r w:rsidDel="00000000" w:rsidR="00000000" w:rsidRPr="00000000">
        <w:rPr>
          <w:rFonts w:ascii="Times New Roman" w:cs="Times New Roman" w:eastAsia="Times New Roman" w:hAnsi="Times New Roman"/>
          <w:vertAlign w:val="superscript"/>
          <w:rtl w:val="0"/>
        </w:rPr>
        <w:t xml:space="preserve">3 </w:t>
      </w:r>
      <w:r w:rsidDel="00000000" w:rsidR="00000000" w:rsidRPr="00000000">
        <w:rPr>
          <w:rFonts w:ascii="Times New Roman" w:cs="Times New Roman" w:eastAsia="Times New Roman" w:hAnsi="Times New Roman"/>
          <w:color w:val="202020"/>
          <w:rtl w:val="0"/>
        </w:rPr>
        <w:t xml:space="preserve">Stanley Center for Psychiatric Research, Broad Institute of MIT and Harvard, Cambridge MA 02142, USA</w:t>
      </w:r>
    </w:p>
    <w:p w:rsidR="00000000" w:rsidDel="00000000" w:rsidP="00000000" w:rsidRDefault="00000000" w:rsidRPr="00000000" w14:paraId="0000001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Department of Genomics, Life &amp; Brain Center, University of Bonn, Sigmund-Freud-Str. 25, 53127 Bonn, Germany</w:t>
      </w:r>
    </w:p>
    <w:p w:rsidR="00000000" w:rsidDel="00000000" w:rsidP="00000000" w:rsidRDefault="00000000" w:rsidRPr="00000000" w14:paraId="00000014">
      <w:pPr>
        <w:spacing w:line="240" w:lineRule="auto"/>
        <w:jc w:val="both"/>
        <w:rPr>
          <w:rFonts w:ascii="Times New Roman" w:cs="Times New Roman" w:eastAsia="Times New Roman" w:hAnsi="Times New Roman"/>
          <w:color w:val="202020"/>
        </w:rPr>
      </w:pP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 Institute of Human Genetics, University of Bonn, Sigmund-Freud-Str. 25, 53127 Bonn, Germany</w:t>
      </w: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 Central Institute of Mental Health, University of Heidelberg, Square J5, 68159 Mannheim, Germany</w:t>
      </w:r>
    </w:p>
    <w:p w:rsidR="00000000" w:rsidDel="00000000" w:rsidP="00000000" w:rsidRDefault="00000000" w:rsidRPr="00000000" w14:paraId="0000001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7</w:t>
      </w:r>
      <w:r w:rsidDel="00000000" w:rsidR="00000000" w:rsidRPr="00000000">
        <w:rPr>
          <w:rFonts w:ascii="Times New Roman" w:cs="Times New Roman" w:eastAsia="Times New Roman" w:hAnsi="Times New Roman"/>
          <w:rtl w:val="0"/>
        </w:rPr>
        <w:t xml:space="preserve"> Department of Child and Adolescent Psychiatry and Psychotherapy, Central Institute of Mental Health, University of Heidelberg, Square J5, 68159 Mannheim, Germany</w:t>
      </w:r>
    </w:p>
    <w:p w:rsidR="00000000" w:rsidDel="00000000" w:rsidP="00000000" w:rsidRDefault="00000000" w:rsidRPr="00000000" w14:paraId="0000001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8</w:t>
      </w:r>
      <w:r w:rsidDel="00000000" w:rsidR="00000000" w:rsidRPr="00000000">
        <w:rPr>
          <w:rFonts w:ascii="Times New Roman" w:cs="Times New Roman" w:eastAsia="Times New Roman" w:hAnsi="Times New Roman"/>
          <w:rtl w:val="0"/>
        </w:rPr>
        <w:t xml:space="preserve"> Discipline of Psychiatry, School of Medicine and Trinity College Institute of Neuroscience, Trinity College Dublin</w:t>
      </w:r>
    </w:p>
    <w:p w:rsidR="00000000" w:rsidDel="00000000" w:rsidP="00000000" w:rsidRDefault="00000000" w:rsidRPr="00000000" w14:paraId="0000001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9</w:t>
      </w:r>
      <w:r w:rsidDel="00000000" w:rsidR="00000000" w:rsidRPr="00000000">
        <w:rPr>
          <w:rFonts w:ascii="Times New Roman" w:cs="Times New Roman" w:eastAsia="Times New Roman" w:hAnsi="Times New Roman"/>
          <w:rtl w:val="0"/>
        </w:rPr>
        <w:t xml:space="preserve"> University Medical Centre Hamburg-Eppendorf, House W34, 3.OG, Martinistr. 52, 20246, Hamburg, Germany</w:t>
      </w:r>
    </w:p>
    <w:p w:rsidR="00000000" w:rsidDel="00000000" w:rsidP="00000000" w:rsidRDefault="00000000" w:rsidRPr="00000000" w14:paraId="0000001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10</w:t>
      </w:r>
      <w:r w:rsidDel="00000000" w:rsidR="00000000" w:rsidRPr="00000000">
        <w:rPr>
          <w:rFonts w:ascii="Times New Roman" w:cs="Times New Roman" w:eastAsia="Times New Roman" w:hAnsi="Times New Roman"/>
          <w:rtl w:val="0"/>
        </w:rPr>
        <w:t xml:space="preserve"> Medical Research Council – Social, Genetic and Developmental Psychiatry Centre, Institute of Psychiatry, Psychology &amp; Neuroscience, King’s College London, United Kingdom</w:t>
      </w:r>
    </w:p>
    <w:p w:rsidR="00000000" w:rsidDel="00000000" w:rsidP="00000000" w:rsidRDefault="00000000" w:rsidRPr="00000000" w14:paraId="0000001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11</w:t>
      </w:r>
      <w:r w:rsidDel="00000000" w:rsidR="00000000" w:rsidRPr="00000000">
        <w:rPr>
          <w:rFonts w:ascii="Times New Roman" w:cs="Times New Roman" w:eastAsia="Times New Roman" w:hAnsi="Times New Roman"/>
          <w:rtl w:val="0"/>
        </w:rPr>
        <w:t xml:space="preserve"> Department of Cognitive and Clinical Neuroscience, Central Institute of Mental Health, Medical Faculty Mannheim, University of Heidelberg, Square J5, 68159 Mannheim, Germany</w:t>
      </w:r>
    </w:p>
    <w:p w:rsidR="00000000" w:rsidDel="00000000" w:rsidP="00000000" w:rsidRDefault="00000000" w:rsidRPr="00000000" w14:paraId="0000001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12</w:t>
      </w:r>
      <w:r w:rsidDel="00000000" w:rsidR="00000000" w:rsidRPr="00000000">
        <w:rPr>
          <w:rFonts w:ascii="Times New Roman" w:cs="Times New Roman" w:eastAsia="Times New Roman" w:hAnsi="Times New Roman"/>
          <w:rtl w:val="0"/>
        </w:rPr>
        <w:t xml:space="preserve"> Department of Psychology, School of Social Sciences, University of Mannheim, 68131 Mannheim, Germany</w:t>
      </w:r>
    </w:p>
    <w:p w:rsidR="00000000" w:rsidDel="00000000" w:rsidP="00000000" w:rsidRDefault="00000000" w:rsidRPr="00000000" w14:paraId="0000001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13</w:t>
      </w:r>
      <w:r w:rsidDel="00000000" w:rsidR="00000000" w:rsidRPr="00000000">
        <w:rPr>
          <w:rFonts w:ascii="Times New Roman" w:cs="Times New Roman" w:eastAsia="Times New Roman" w:hAnsi="Times New Roman"/>
          <w:rtl w:val="0"/>
        </w:rPr>
        <w:t xml:space="preserve"> NeuroSpin, CEA, Université Paris-Saclay, F-91191, Gif-sur-Yvette, France</w:t>
      </w:r>
    </w:p>
    <w:p w:rsidR="00000000" w:rsidDel="00000000" w:rsidP="00000000" w:rsidRDefault="00000000" w:rsidRPr="00000000" w14:paraId="0000001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14</w:t>
      </w:r>
      <w:r w:rsidDel="00000000" w:rsidR="00000000" w:rsidRPr="00000000">
        <w:rPr>
          <w:rFonts w:ascii="Times New Roman" w:cs="Times New Roman" w:eastAsia="Times New Roman" w:hAnsi="Times New Roman"/>
          <w:rtl w:val="0"/>
        </w:rPr>
        <w:t xml:space="preserve"> Departments of Psychiatry and Psychology, University of Vermont, 05405 Burlington, Vermont, USA</w:t>
      </w:r>
    </w:p>
    <w:p w:rsidR="00000000" w:rsidDel="00000000" w:rsidP="00000000" w:rsidRDefault="00000000" w:rsidRPr="00000000" w14:paraId="0000001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 Sir Peter Mansfield Imaging Centre School of Physics and Astronomy, University of Nottingham, University Park, Nottingham, United Kingdom</w:t>
      </w:r>
    </w:p>
    <w:p w:rsidR="00000000" w:rsidDel="00000000" w:rsidP="00000000" w:rsidRDefault="00000000" w:rsidRPr="00000000" w14:paraId="0000001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16</w:t>
      </w:r>
      <w:r w:rsidDel="00000000" w:rsidR="00000000" w:rsidRPr="00000000">
        <w:rPr>
          <w:rFonts w:ascii="Times New Roman" w:cs="Times New Roman" w:eastAsia="Times New Roman" w:hAnsi="Times New Roman"/>
          <w:rtl w:val="0"/>
        </w:rPr>
        <w:t xml:space="preserve"> Physikalisch-Technische Bundesanstalt (PTB), Abbestr. 2 – 12, Berlin, Germany</w:t>
      </w:r>
    </w:p>
    <w:p w:rsidR="00000000" w:rsidDel="00000000" w:rsidP="00000000" w:rsidRDefault="00000000" w:rsidRPr="00000000" w14:paraId="0000002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17</w:t>
      </w:r>
      <w:r w:rsidDel="00000000" w:rsidR="00000000" w:rsidRPr="00000000">
        <w:rPr>
          <w:rFonts w:ascii="Times New Roman" w:cs="Times New Roman" w:eastAsia="Times New Roman" w:hAnsi="Times New Roman"/>
          <w:rtl w:val="0"/>
        </w:rPr>
        <w:t xml:space="preserve"> Institut National de la Santé et de la Recherche Médicale, INSERM Unit 1000 “Neuroimaging &amp; Psychiatry”, University Paris Sud, University Paris Descartes – Sorbonne Paris Cité; and Maison de Solenn, Paris, France</w:t>
      </w:r>
    </w:p>
    <w:p w:rsidR="00000000" w:rsidDel="00000000" w:rsidP="00000000" w:rsidRDefault="00000000" w:rsidRPr="00000000" w14:paraId="0000002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rtl w:val="0"/>
        </w:rPr>
        <w:t xml:space="preserve"> Institut National de la Santé et de la Recherche Médicale, INSERM Unit 1000 “Neuroimaging &amp; Psychiatry”, University Paris Sud, University Paris Descartes; Sorbonne Université; and AP-HP, Department of Child and Adolescent Psychiatry, Pitié-Salpêtrière Hospital, Paris, France</w:t>
      </w:r>
    </w:p>
    <w:p w:rsidR="00000000" w:rsidDel="00000000" w:rsidP="00000000" w:rsidRDefault="00000000" w:rsidRPr="00000000" w14:paraId="0000002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19</w:t>
      </w:r>
      <w:r w:rsidDel="00000000" w:rsidR="00000000" w:rsidRPr="00000000">
        <w:rPr>
          <w:rFonts w:ascii="Times New Roman" w:cs="Times New Roman" w:eastAsia="Times New Roman" w:hAnsi="Times New Roman"/>
          <w:rtl w:val="0"/>
        </w:rPr>
        <w:t xml:space="preserve"> Bloorview Research Institute, Holland Bloorview Kids Rehabilitation Hospital and Departments of Psychology and Psychiatry, University of Toronto, Toronto, Ontario, M6A 2E1, Canada</w:t>
      </w:r>
    </w:p>
    <w:p w:rsidR="00000000" w:rsidDel="00000000" w:rsidP="00000000" w:rsidRDefault="00000000" w:rsidRPr="00000000" w14:paraId="0000002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20</w:t>
      </w:r>
      <w:r w:rsidDel="00000000" w:rsidR="00000000" w:rsidRPr="00000000">
        <w:rPr>
          <w:rFonts w:ascii="Times New Roman" w:cs="Times New Roman" w:eastAsia="Times New Roman" w:hAnsi="Times New Roman"/>
          <w:rtl w:val="0"/>
        </w:rPr>
        <w:t xml:space="preserve"> Department of Child and Adolescent Psychiatry and Psychotherapy, University Medical Centre Göttingen, von-Siebold-Str. 5, 37075, Göttingen, Germany</w:t>
      </w:r>
    </w:p>
    <w:p w:rsidR="00000000" w:rsidDel="00000000" w:rsidP="00000000" w:rsidRDefault="00000000" w:rsidRPr="00000000" w14:paraId="0000002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21</w:t>
      </w:r>
      <w:r w:rsidDel="00000000" w:rsidR="00000000" w:rsidRPr="00000000">
        <w:rPr>
          <w:rFonts w:ascii="Times New Roman" w:cs="Times New Roman" w:eastAsia="Times New Roman" w:hAnsi="Times New Roman"/>
          <w:rtl w:val="0"/>
        </w:rPr>
        <w:t xml:space="preserve"> Department of Psychiatry and Neuroimaging Center, Technische Universität Dresden, Dresden, Germany</w:t>
      </w:r>
    </w:p>
    <w:p w:rsidR="00000000" w:rsidDel="00000000" w:rsidP="00000000" w:rsidRDefault="00000000" w:rsidRPr="00000000" w14:paraId="0000002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22</w:t>
      </w:r>
      <w:r w:rsidDel="00000000" w:rsidR="00000000" w:rsidRPr="00000000">
        <w:rPr>
          <w:rFonts w:ascii="Times New Roman" w:cs="Times New Roman" w:eastAsia="Times New Roman" w:hAnsi="Times New Roman"/>
          <w:rtl w:val="0"/>
        </w:rPr>
        <w:t xml:space="preserve"> School of Psychology and Global Brain Health Institute, Trinity College Dublin, Ireland</w:t>
      </w:r>
    </w:p>
    <w:p w:rsidR="00000000" w:rsidDel="00000000" w:rsidP="00000000" w:rsidRDefault="00000000" w:rsidRPr="00000000" w14:paraId="00000026">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Intelligence measures</w:t>
      </w:r>
    </w:p>
    <w:p w:rsidR="00000000" w:rsidDel="00000000" w:rsidP="00000000" w:rsidRDefault="00000000" w:rsidRPr="00000000" w14:paraId="0000002B">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IMAGEN, participants completed a battery of neuropsychological tests from the Wechsler Intelligence Scale for Children IV (WISC-IV) </w:t>
      </w:r>
      <w:hyperlink r:id="rId8">
        <w:r w:rsidDel="00000000" w:rsidR="00000000" w:rsidRPr="00000000">
          <w:rPr>
            <w:rFonts w:ascii="Times New Roman" w:cs="Times New Roman" w:eastAsia="Times New Roman" w:hAnsi="Times New Roman"/>
            <w:b w:val="0"/>
            <w:color w:val="000000"/>
            <w:u w:val="none"/>
            <w:rtl w:val="0"/>
          </w:rPr>
          <w:t xml:space="preserve">(Wechsler 2003)</w:t>
        </w:r>
      </w:hyperlink>
      <w:r w:rsidDel="00000000" w:rsidR="00000000" w:rsidRPr="00000000">
        <w:rPr>
          <w:rFonts w:ascii="Times New Roman" w:cs="Times New Roman" w:eastAsia="Times New Roman" w:hAnsi="Times New Roman"/>
          <w:rtl w:val="0"/>
        </w:rPr>
        <w:t xml:space="preserve">. The following subtests were included in calculating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w:t>
      </w:r>
      <w:r w:rsidDel="00000000" w:rsidR="00000000" w:rsidRPr="00000000">
        <w:rPr>
          <w:rFonts w:ascii="Times New Roman" w:cs="Times New Roman" w:eastAsia="Times New Roman" w:hAnsi="Times New Roman"/>
          <w:i w:val="1"/>
          <w:rtl w:val="0"/>
        </w:rPr>
        <w:t xml:space="preserve">Block design</w:t>
      </w:r>
      <w:r w:rsidDel="00000000" w:rsidR="00000000" w:rsidRPr="00000000">
        <w:rPr>
          <w:rFonts w:ascii="Times New Roman" w:cs="Times New Roman" w:eastAsia="Times New Roman" w:hAnsi="Times New Roman"/>
          <w:rtl w:val="0"/>
        </w:rPr>
        <w:t xml:space="preserve"> measures the ability of spatial visualization, simultaneous processing, visual-motor coordination and dexterity. Individuals are given coloured blocks and must arrange them to display a printed image. </w:t>
      </w:r>
      <w:r w:rsidDel="00000000" w:rsidR="00000000" w:rsidRPr="00000000">
        <w:rPr>
          <w:rFonts w:ascii="Times New Roman" w:cs="Times New Roman" w:eastAsia="Times New Roman" w:hAnsi="Times New Roman"/>
          <w:i w:val="1"/>
          <w:rtl w:val="0"/>
        </w:rPr>
        <w:t xml:space="preserve">Similarities</w:t>
      </w:r>
      <w:r w:rsidDel="00000000" w:rsidR="00000000" w:rsidRPr="00000000">
        <w:rPr>
          <w:rFonts w:ascii="Times New Roman" w:cs="Times New Roman" w:eastAsia="Times New Roman" w:hAnsi="Times New Roman"/>
          <w:rtl w:val="0"/>
        </w:rPr>
        <w:t xml:space="preserve"> measures abstract reasoning, verbal concept formation and logical thinking. Two related, yet different objects or concepts are presented and participants have to tell how they are alike or different. </w:t>
      </w:r>
      <w:r w:rsidDel="00000000" w:rsidR="00000000" w:rsidRPr="00000000">
        <w:rPr>
          <w:rFonts w:ascii="Times New Roman" w:cs="Times New Roman" w:eastAsia="Times New Roman" w:hAnsi="Times New Roman"/>
          <w:i w:val="1"/>
          <w:rtl w:val="0"/>
        </w:rPr>
        <w:t xml:space="preserve">Digit Span Forward </w:t>
      </w:r>
      <w:r w:rsidDel="00000000" w:rsidR="00000000" w:rsidRPr="00000000">
        <w:rPr>
          <w:rFonts w:ascii="Times New Roman" w:cs="Times New Roman" w:eastAsia="Times New Roman" w:hAnsi="Times New Roman"/>
          <w:rtl w:val="0"/>
        </w:rPr>
        <w:t xml:space="preserve">and</w:t>
      </w:r>
      <w:r w:rsidDel="00000000" w:rsidR="00000000" w:rsidRPr="00000000">
        <w:rPr>
          <w:rFonts w:ascii="Times New Roman" w:cs="Times New Roman" w:eastAsia="Times New Roman" w:hAnsi="Times New Roman"/>
          <w:i w:val="1"/>
          <w:rtl w:val="0"/>
        </w:rPr>
        <w:t xml:space="preserve"> Digit Span Backward </w:t>
      </w:r>
      <w:r w:rsidDel="00000000" w:rsidR="00000000" w:rsidRPr="00000000">
        <w:rPr>
          <w:rFonts w:ascii="Times New Roman" w:cs="Times New Roman" w:eastAsia="Times New Roman" w:hAnsi="Times New Roman"/>
          <w:rtl w:val="0"/>
        </w:rPr>
        <w:t xml:space="preserve">measure short-term auditory memory and attention. Multiple digits are presented in random order by the examiner. Participants must then recite the digits by recalling them either in the same order (forward) or in reverse order (backward). </w:t>
      </w:r>
      <w:r w:rsidDel="00000000" w:rsidR="00000000" w:rsidRPr="00000000">
        <w:rPr>
          <w:rFonts w:ascii="Times New Roman" w:cs="Times New Roman" w:eastAsia="Times New Roman" w:hAnsi="Times New Roman"/>
          <w:i w:val="1"/>
          <w:rtl w:val="0"/>
        </w:rPr>
        <w:t xml:space="preserve">Vocabulary</w:t>
      </w:r>
      <w:r w:rsidDel="00000000" w:rsidR="00000000" w:rsidRPr="00000000">
        <w:rPr>
          <w:rFonts w:ascii="Times New Roman" w:cs="Times New Roman" w:eastAsia="Times New Roman" w:hAnsi="Times New Roman"/>
          <w:rtl w:val="0"/>
        </w:rPr>
        <w:t xml:space="preserve">  measures verbal fluency, concept formation, word usage, and word knowledge. The examiner either presents a picture or a word is said aloud. Participants are asked to tell the name of the presented object or to define the word. </w:t>
      </w:r>
      <w:r w:rsidDel="00000000" w:rsidR="00000000" w:rsidRPr="00000000">
        <w:rPr>
          <w:rFonts w:ascii="Times New Roman" w:cs="Times New Roman" w:eastAsia="Times New Roman" w:hAnsi="Times New Roman"/>
          <w:i w:val="1"/>
          <w:rtl w:val="0"/>
        </w:rPr>
        <w:t xml:space="preserve">Matrix reasoning</w:t>
      </w:r>
      <w:r w:rsidDel="00000000" w:rsidR="00000000" w:rsidRPr="00000000">
        <w:rPr>
          <w:rFonts w:ascii="Times New Roman" w:cs="Times New Roman" w:eastAsia="Times New Roman" w:hAnsi="Times New Roman"/>
          <w:rtl w:val="0"/>
        </w:rPr>
        <w:t xml:space="preserve"> measures non-verbal problem solving by presenting a matrix of abstract pictures to the participants, where one picture is missing. Participants have to choose the missing picture from multiple options.</w:t>
      </w:r>
    </w:p>
    <w:p w:rsidR="00000000" w:rsidDel="00000000" w:rsidP="00000000" w:rsidRDefault="00000000" w:rsidRPr="00000000" w14:paraId="0000002C">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IntegraMooDS</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subtests from the </w:t>
      </w:r>
      <w:r w:rsidDel="00000000" w:rsidR="00000000" w:rsidRPr="00000000">
        <w:rPr>
          <w:rFonts w:ascii="Times New Roman" w:cs="Times New Roman" w:eastAsia="Times New Roman" w:hAnsi="Times New Roman"/>
          <w:color w:val="222222"/>
          <w:highlight w:val="white"/>
          <w:rtl w:val="0"/>
        </w:rPr>
        <w:t xml:space="preserve">Hamburg-Wechsler Adult Intelligence Scale (HAWIE-R) </w:t>
      </w:r>
      <w:hyperlink r:id="rId9">
        <w:r w:rsidDel="00000000" w:rsidR="00000000" w:rsidRPr="00000000">
          <w:rPr>
            <w:rFonts w:ascii="Times New Roman" w:cs="Times New Roman" w:eastAsia="Times New Roman" w:hAnsi="Times New Roman"/>
            <w:b w:val="0"/>
            <w:color w:val="000000"/>
            <w:highlight w:val="white"/>
            <w:u w:val="none"/>
            <w:rtl w:val="0"/>
          </w:rPr>
          <w:t xml:space="preserve">(Wechsler 2008)</w:t>
        </w:r>
      </w:hyperlink>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rtl w:val="0"/>
        </w:rPr>
        <w:t xml:space="preserve">and other neuropsychological tests were used. The following tests were included for calculating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w:t>
      </w:r>
      <w:r w:rsidDel="00000000" w:rsidR="00000000" w:rsidRPr="00000000">
        <w:rPr>
          <w:rFonts w:ascii="Times New Roman" w:cs="Times New Roman" w:eastAsia="Times New Roman" w:hAnsi="Times New Roman"/>
          <w:i w:val="1"/>
          <w:rtl w:val="0"/>
        </w:rPr>
        <w:t xml:space="preserve">Digit Span Forward, Digit Span Backward </w:t>
      </w:r>
      <w:r w:rsidDel="00000000" w:rsidR="00000000" w:rsidRPr="00000000">
        <w:rPr>
          <w:rFonts w:ascii="Times New Roman" w:cs="Times New Roman" w:eastAsia="Times New Roman" w:hAnsi="Times New Roman"/>
          <w:rtl w:val="0"/>
        </w:rPr>
        <w:t xml:space="preserve">and</w:t>
      </w:r>
      <w:r w:rsidDel="00000000" w:rsidR="00000000" w:rsidRPr="00000000">
        <w:rPr>
          <w:rFonts w:ascii="Times New Roman" w:cs="Times New Roman" w:eastAsia="Times New Roman" w:hAnsi="Times New Roman"/>
          <w:i w:val="1"/>
          <w:rtl w:val="0"/>
        </w:rPr>
        <w:t xml:space="preserve"> Matrix reasoning</w:t>
      </w:r>
      <w:r w:rsidDel="00000000" w:rsidR="00000000" w:rsidRPr="00000000">
        <w:rPr>
          <w:rFonts w:ascii="Times New Roman" w:cs="Times New Roman" w:eastAsia="Times New Roman" w:hAnsi="Times New Roman"/>
          <w:rtl w:val="0"/>
        </w:rPr>
        <w:t xml:space="preserve"> are identical to the tests used in IMAGEN. </w:t>
      </w:r>
      <w:r w:rsidDel="00000000" w:rsidR="00000000" w:rsidRPr="00000000">
        <w:rPr>
          <w:rFonts w:ascii="Times New Roman" w:cs="Times New Roman" w:eastAsia="Times New Roman" w:hAnsi="Times New Roman"/>
          <w:i w:val="1"/>
          <w:rtl w:val="0"/>
        </w:rPr>
        <w:t xml:space="preserve">Digit Symbol </w:t>
      </w:r>
      <w:r w:rsidDel="00000000" w:rsidR="00000000" w:rsidRPr="00000000">
        <w:rPr>
          <w:rFonts w:ascii="Times New Roman" w:cs="Times New Roman" w:eastAsia="Times New Roman" w:hAnsi="Times New Roman"/>
          <w:rtl w:val="0"/>
        </w:rPr>
        <w:t xml:space="preserve">measures processing speed, working memory, attention and visuospatial processing. The test consists of a key with the numbers 1-9, each assigned to a unique symbol. Below the key, the numbers 1-9 are randomly listed and participants are asked to write the corresponding symbols, referring to the key, below the numbers in 120 seconds. </w:t>
      </w:r>
      <w:r w:rsidDel="00000000" w:rsidR="00000000" w:rsidRPr="00000000">
        <w:rPr>
          <w:rFonts w:ascii="Times New Roman" w:cs="Times New Roman" w:eastAsia="Times New Roman" w:hAnsi="Times New Roman"/>
          <w:i w:val="1"/>
          <w:rtl w:val="0"/>
        </w:rPr>
        <w:t xml:space="preserve">Verbal Fluency </w:t>
      </w:r>
      <w:r w:rsidDel="00000000" w:rsidR="00000000" w:rsidRPr="00000000">
        <w:rPr>
          <w:rFonts w:ascii="Times New Roman" w:cs="Times New Roman" w:eastAsia="Times New Roman" w:hAnsi="Times New Roman"/>
          <w:rtl w:val="0"/>
        </w:rPr>
        <w:t xml:space="preserve">as measured by the RWT (Regensburger Wortflüssigkeitstest)</w:t>
      </w:r>
      <w:hyperlink r:id="rId10">
        <w:r w:rsidDel="00000000" w:rsidR="00000000" w:rsidRPr="00000000">
          <w:rPr>
            <w:rFonts w:ascii="Times New Roman" w:cs="Times New Roman" w:eastAsia="Times New Roman" w:hAnsi="Times New Roman"/>
            <w:b w:val="0"/>
            <w:color w:val="000000"/>
            <w:u w:val="none"/>
            <w:rtl w:val="0"/>
          </w:rPr>
          <w:t xml:space="preserve">(Aschenbrenner et al. 2000)</w:t>
        </w:r>
      </w:hyperlink>
      <w:r w:rsidDel="00000000" w:rsidR="00000000" w:rsidRPr="00000000">
        <w:rPr>
          <w:rFonts w:ascii="Times New Roman" w:cs="Times New Roman" w:eastAsia="Times New Roman" w:hAnsi="Times New Roman"/>
          <w:rtl w:val="0"/>
        </w:rPr>
        <w:t xml:space="preserve">, is a test in which participants have to generate as many words as possible, belonging to a category (e.g. fruits, vegetables) in either one or two minutes. </w:t>
      </w:r>
      <w:r w:rsidDel="00000000" w:rsidR="00000000" w:rsidRPr="00000000">
        <w:rPr>
          <w:rFonts w:ascii="Times New Roman" w:cs="Times New Roman" w:eastAsia="Times New Roman" w:hAnsi="Times New Roman"/>
          <w:i w:val="1"/>
          <w:rtl w:val="0"/>
        </w:rPr>
        <w:t xml:space="preserve">Verbal Intelligence </w:t>
      </w:r>
      <w:r w:rsidDel="00000000" w:rsidR="00000000" w:rsidRPr="00000000">
        <w:rPr>
          <w:rFonts w:ascii="Times New Roman" w:cs="Times New Roman" w:eastAsia="Times New Roman" w:hAnsi="Times New Roman"/>
          <w:rtl w:val="0"/>
        </w:rPr>
        <w:t xml:space="preserve">as measured by the MWT-B (Mehrfachwahl-Wortschatz-Intelligenztest)</w:t>
      </w:r>
      <w:hyperlink r:id="rId11">
        <w:r w:rsidDel="00000000" w:rsidR="00000000" w:rsidRPr="00000000">
          <w:rPr>
            <w:rFonts w:ascii="Times New Roman" w:cs="Times New Roman" w:eastAsia="Times New Roman" w:hAnsi="Times New Roman"/>
            <w:b w:val="0"/>
            <w:color w:val="000000"/>
            <w:u w:val="none"/>
            <w:rtl w:val="0"/>
          </w:rPr>
          <w:t xml:space="preserve">(Lehrl 1999)</w:t>
        </w:r>
      </w:hyperlink>
      <w:r w:rsidDel="00000000" w:rsidR="00000000" w:rsidRPr="00000000">
        <w:rPr>
          <w:rFonts w:ascii="Times New Roman" w:cs="Times New Roman" w:eastAsia="Times New Roman" w:hAnsi="Times New Roman"/>
          <w:rtl w:val="0"/>
        </w:rPr>
        <w:t xml:space="preserve"> is a German instrument measuring crystallized intelligence. The MWT-B consists of 37 multiple-choice items of which only one of five options actually reflects a German word, while the other four are pseudo words. The participants’ task is to circle the real words. </w:t>
      </w:r>
      <w:r w:rsidDel="00000000" w:rsidR="00000000" w:rsidRPr="00000000">
        <w:rPr>
          <w:rFonts w:ascii="Times New Roman" w:cs="Times New Roman" w:eastAsia="Times New Roman" w:hAnsi="Times New Roman"/>
          <w:i w:val="1"/>
          <w:rtl w:val="0"/>
        </w:rPr>
        <w:t xml:space="preserve">Verbal Learning and Memory </w:t>
      </w:r>
      <w:r w:rsidDel="00000000" w:rsidR="00000000" w:rsidRPr="00000000">
        <w:rPr>
          <w:rFonts w:ascii="Times New Roman" w:cs="Times New Roman" w:eastAsia="Times New Roman" w:hAnsi="Times New Roman"/>
          <w:rtl w:val="0"/>
        </w:rPr>
        <w:t xml:space="preserve">as measured by the VLMT (Verbaler Lern- und Merkfähigkeitstest)</w:t>
      </w:r>
      <w:hyperlink r:id="rId12">
        <w:r w:rsidDel="00000000" w:rsidR="00000000" w:rsidRPr="00000000">
          <w:rPr>
            <w:rFonts w:ascii="Times New Roman" w:cs="Times New Roman" w:eastAsia="Times New Roman" w:hAnsi="Times New Roman"/>
            <w:b w:val="0"/>
            <w:color w:val="000000"/>
            <w:u w:val="none"/>
            <w:rtl w:val="0"/>
          </w:rPr>
          <w:t xml:space="preserve">(Helmstaedter et al. 2001)</w:t>
        </w:r>
      </w:hyperlink>
      <w:r w:rsidDel="00000000" w:rsidR="00000000" w:rsidRPr="00000000">
        <w:rPr>
          <w:rFonts w:ascii="Times New Roman" w:cs="Times New Roman" w:eastAsia="Times New Roman" w:hAnsi="Times New Roman"/>
          <w:rtl w:val="0"/>
        </w:rPr>
        <w:t xml:space="preserve"> is a German instrument measuring different parameters of declarative verbal memory, learning performance, as well as long-term encoding, recall and recognition performance. </w:t>
      </w:r>
      <w:r w:rsidDel="00000000" w:rsidR="00000000" w:rsidRPr="00000000">
        <w:rPr>
          <w:rFonts w:ascii="Times New Roman" w:cs="Times New Roman" w:eastAsia="Times New Roman" w:hAnsi="Times New Roman"/>
          <w:i w:val="1"/>
          <w:rtl w:val="0"/>
        </w:rPr>
        <w:t xml:space="preserve">Trail Making Test A &amp; B </w:t>
      </w:r>
      <w:hyperlink r:id="rId13">
        <w:r w:rsidDel="00000000" w:rsidR="00000000" w:rsidRPr="00000000">
          <w:rPr>
            <w:rFonts w:ascii="Times New Roman" w:cs="Times New Roman" w:eastAsia="Times New Roman" w:hAnsi="Times New Roman"/>
            <w:b w:val="0"/>
            <w:color w:val="000000"/>
            <w:u w:val="none"/>
            <w:rtl w:val="0"/>
          </w:rPr>
          <w:t xml:space="preserve">(Giovagnoli et al. 1996)</w:t>
        </w:r>
      </w:hyperlink>
      <w:r w:rsidDel="00000000" w:rsidR="00000000" w:rsidRPr="00000000">
        <w:rPr>
          <w:rFonts w:ascii="Times New Roman" w:cs="Times New Roman" w:eastAsia="Times New Roman" w:hAnsi="Times New Roman"/>
          <w:rtl w:val="0"/>
        </w:rPr>
        <w:t xml:space="preserve"> is a test of visual attention and task switching. In version A, participants have to connect 25 randomly scattered numbers, in the correct order, starting with 1 and ending with 25, without lifting the pen from the paper. In version B, participants have to do the same task and additionally alternate between numbers and letters, (i.e. 1-A-2-B-3-C, etc.). The </w:t>
      </w:r>
      <w:r w:rsidDel="00000000" w:rsidR="00000000" w:rsidRPr="00000000">
        <w:rPr>
          <w:rFonts w:ascii="Times New Roman" w:cs="Times New Roman" w:eastAsia="Times New Roman" w:hAnsi="Times New Roman"/>
          <w:i w:val="1"/>
          <w:rtl w:val="0"/>
        </w:rPr>
        <w:t xml:space="preserve">D2 Concentration Test </w:t>
      </w:r>
      <w:hyperlink r:id="rId14">
        <w:r w:rsidDel="00000000" w:rsidR="00000000" w:rsidRPr="00000000">
          <w:rPr>
            <w:rFonts w:ascii="Times New Roman" w:cs="Times New Roman" w:eastAsia="Times New Roman" w:hAnsi="Times New Roman"/>
            <w:b w:val="0"/>
            <w:i w:val="1"/>
            <w:color w:val="000000"/>
            <w:u w:val="none"/>
            <w:rtl w:val="0"/>
          </w:rPr>
          <w:t xml:space="preserve">(Brickenkamp et al. 1998)</w:t>
        </w:r>
      </w:hyperlink>
      <w:r w:rsidDel="00000000" w:rsidR="00000000" w:rsidRPr="00000000">
        <w:rPr>
          <w:rFonts w:ascii="Times New Roman" w:cs="Times New Roman" w:eastAsia="Times New Roman" w:hAnsi="Times New Roman"/>
          <w:rtl w:val="0"/>
        </w:rPr>
        <w:t xml:space="preserve"> measures selective and sustained attention, as well as visual scanning speed. Participants are required to cross out all letters “d” with two marks surrounding it, with similar surrounding distractor stimuli that do not differ substantially from the target stimulus.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D">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Genetics</w:t>
      </w:r>
    </w:p>
    <w:p w:rsidR="00000000" w:rsidDel="00000000" w:rsidP="00000000" w:rsidRDefault="00000000" w:rsidRPr="00000000" w14:paraId="0000002F">
      <w:pPr>
        <w:spacing w:line="480"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In IMAGEN, genotyping was performed using the Illumina Human610Quad chips (Illumina Inc., San Diego, California, USA). </w:t>
      </w:r>
      <w:r w:rsidDel="00000000" w:rsidR="00000000" w:rsidRPr="00000000">
        <w:rPr>
          <w:rFonts w:ascii="Times New Roman" w:cs="Times New Roman" w:eastAsia="Times New Roman" w:hAnsi="Times New Roman"/>
          <w:rtl w:val="0"/>
        </w:rPr>
        <w:t xml:space="preserve">In IntegraMooDS</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genotyping was performed at the Department of Genomics, Life &amp; Brain Center, University of Bonn using the Illumina's Human610Quad, Human660W-Quad and Infinium PsychArray-24 BeadChips</w:t>
      </w:r>
      <w:r w:rsidDel="00000000" w:rsidR="00000000" w:rsidRPr="00000000">
        <w:rPr>
          <w:rFonts w:ascii="Times New Roman" w:cs="Times New Roman" w:eastAsia="Times New Roman" w:hAnsi="Times New Roman"/>
          <w:color w:val="222222"/>
          <w:highlight w:val="white"/>
          <w:rtl w:val="0"/>
        </w:rPr>
        <w:t xml:space="preserve">. The quality control parameters applied to subjects and SNPs were: SNP missingness &lt; 0.05 (before sample removal); subject missingness &lt; 0.02; autosomal heterozygosity deviation (| Fhet | &lt; 0.2); SNP missingness &lt; 0.02 (after sample removal); difference in SNP missingness between cases and controls &lt; 0.02; and SNP Hardy-Weinberg equilibrium (P &gt; 10</w:t>
      </w:r>
      <w:r w:rsidDel="00000000" w:rsidR="00000000" w:rsidRPr="00000000">
        <w:rPr>
          <w:rFonts w:ascii="Gungsuh" w:cs="Gungsuh" w:eastAsia="Gungsuh" w:hAnsi="Gungsuh"/>
          <w:color w:val="222222"/>
          <w:highlight w:val="white"/>
          <w:vertAlign w:val="superscript"/>
          <w:rtl w:val="0"/>
        </w:rPr>
        <w:t xml:space="preserve">−6</w:t>
      </w:r>
      <w:r w:rsidDel="00000000" w:rsidR="00000000" w:rsidRPr="00000000">
        <w:rPr>
          <w:rFonts w:ascii="Times New Roman" w:cs="Times New Roman" w:eastAsia="Times New Roman" w:hAnsi="Times New Roman"/>
          <w:color w:val="222222"/>
          <w:highlight w:val="white"/>
          <w:rtl w:val="0"/>
        </w:rPr>
        <w:t xml:space="preserve"> in controls or P &gt; 10</w:t>
      </w:r>
      <w:r w:rsidDel="00000000" w:rsidR="00000000" w:rsidRPr="00000000">
        <w:rPr>
          <w:rFonts w:ascii="Gungsuh" w:cs="Gungsuh" w:eastAsia="Gungsuh" w:hAnsi="Gungsuh"/>
          <w:color w:val="222222"/>
          <w:highlight w:val="white"/>
          <w:vertAlign w:val="superscript"/>
          <w:rtl w:val="0"/>
        </w:rPr>
        <w:t xml:space="preserve">−10</w:t>
      </w:r>
      <w:r w:rsidDel="00000000" w:rsidR="00000000" w:rsidRPr="00000000">
        <w:rPr>
          <w:rFonts w:ascii="Times New Roman" w:cs="Times New Roman" w:eastAsia="Times New Roman" w:hAnsi="Times New Roman"/>
          <w:color w:val="222222"/>
          <w:highlight w:val="white"/>
          <w:rtl w:val="0"/>
        </w:rPr>
        <w:t xml:space="preserve"> in cases). Genotype imputation was performed using the pre-phasing/imputation stepwise approach implemented in EAGLE / MINIMAC3 (with variable chunk size of 132 genomic chunks and default parameters) </w:t>
      </w:r>
      <w:hyperlink r:id="rId15">
        <w:r w:rsidDel="00000000" w:rsidR="00000000" w:rsidRPr="00000000">
          <w:rPr>
            <w:rFonts w:ascii="Times New Roman" w:cs="Times New Roman" w:eastAsia="Times New Roman" w:hAnsi="Times New Roman"/>
            <w:b w:val="0"/>
            <w:color w:val="000000"/>
            <w:highlight w:val="white"/>
            <w:u w:val="none"/>
            <w:rtl w:val="0"/>
          </w:rPr>
          <w:t xml:space="preserve">(Das et al. 2016; “Eagle v2.4.1 User Manual” 2018)</w:t>
        </w:r>
      </w:hyperlink>
      <w:r w:rsidDel="00000000" w:rsidR="00000000" w:rsidRPr="00000000">
        <w:rPr>
          <w:rFonts w:ascii="Times New Roman" w:cs="Times New Roman" w:eastAsia="Times New Roman" w:hAnsi="Times New Roman"/>
          <w:color w:val="222222"/>
          <w:highlight w:val="white"/>
          <w:rtl w:val="0"/>
        </w:rPr>
        <w:t xml:space="preserve">. The imputation reference set consisted of 54,330 phased haplotypes with 36,678,882 variants from the publically available HRC reference (</w:t>
      </w:r>
      <w:hyperlink r:id="rId16">
        <w:r w:rsidDel="00000000" w:rsidR="00000000" w:rsidRPr="00000000">
          <w:rPr>
            <w:rFonts w:ascii="Times New Roman" w:cs="Times New Roman" w:eastAsia="Times New Roman" w:hAnsi="Times New Roman"/>
            <w:color w:val="1155cc"/>
            <w:highlight w:val="white"/>
            <w:u w:val="single"/>
            <w:rtl w:val="0"/>
          </w:rPr>
          <w:t xml:space="preserve">https://ega-archive.org/datasets/EGAD00001002729</w:t>
        </w:r>
      </w:hyperlink>
      <w:r w:rsidDel="00000000" w:rsidR="00000000" w:rsidRPr="00000000">
        <w:rPr>
          <w:rFonts w:ascii="Times New Roman" w:cs="Times New Roman" w:eastAsia="Times New Roman" w:hAnsi="Times New Roman"/>
          <w:color w:val="222222"/>
          <w:highlight w:val="white"/>
          <w:rtl w:val="0"/>
        </w:rPr>
        <w:t xml:space="preserve">). After linkage disequilibrium pruning (r2 &gt; 0.02) and frequency filtering (MAF &gt; 0.05), there were 64,081 autosomal SNPs across both datasets of European ancestry. This SNP set was used for robust relatedness testing and population structure analysis. Relatedness testing was done with PLINK; pairs of subjects with &gt; 0.2 were identified and one member of each pair removed at random after preferentially retaining cases over controls.  After quality control and imputation, 7,644,814 </w:t>
      </w:r>
      <w:r w:rsidDel="00000000" w:rsidR="00000000" w:rsidRPr="00000000">
        <w:rPr>
          <w:rFonts w:ascii="Times New Roman" w:cs="Times New Roman" w:eastAsia="Times New Roman" w:hAnsi="Times New Roman"/>
          <w:color w:val="222222"/>
          <w:rtl w:val="0"/>
        </w:rPr>
        <w:t xml:space="preserve">single-nuc</w:t>
      </w:r>
      <w:r w:rsidDel="00000000" w:rsidR="00000000" w:rsidRPr="00000000">
        <w:rPr>
          <w:rFonts w:ascii="Times New Roman" w:cs="Times New Roman" w:eastAsia="Times New Roman" w:hAnsi="Times New Roman"/>
          <w:color w:val="222222"/>
          <w:highlight w:val="white"/>
          <w:rtl w:val="0"/>
        </w:rPr>
        <w:t xml:space="preserve">leotide polymorphisms (SNPs) remained in the IMAGEN sample and </w:t>
      </w:r>
      <w:r w:rsidDel="00000000" w:rsidR="00000000" w:rsidRPr="00000000">
        <w:rPr>
          <w:rFonts w:ascii="Times New Roman" w:cs="Times New Roman" w:eastAsia="Times New Roman" w:hAnsi="Times New Roman"/>
          <w:color w:val="222222"/>
          <w:rtl w:val="0"/>
        </w:rPr>
        <w:t xml:space="preserve">8,843,142 SNPs</w:t>
      </w:r>
      <w:r w:rsidDel="00000000" w:rsidR="00000000" w:rsidRPr="00000000">
        <w:rPr>
          <w:rFonts w:ascii="Times New Roman" w:cs="Times New Roman" w:eastAsia="Times New Roman" w:hAnsi="Times New Roman"/>
          <w:color w:val="222222"/>
          <w:highlight w:val="white"/>
          <w:rtl w:val="0"/>
        </w:rPr>
        <w:t xml:space="preserve"> remained in IntegraMooDS. </w:t>
      </w:r>
    </w:p>
    <w:p w:rsidR="00000000" w:rsidDel="00000000" w:rsidP="00000000" w:rsidRDefault="00000000" w:rsidRPr="00000000" w14:paraId="00000030">
      <w:pPr>
        <w:spacing w:line="480" w:lineRule="auto"/>
        <w:ind w:firstLine="72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We used the standard PGC method for creating polygenic scores across 10 deciles </w:t>
      </w:r>
      <w:hyperlink r:id="rId17">
        <w:r w:rsidDel="00000000" w:rsidR="00000000" w:rsidRPr="00000000">
          <w:rPr>
            <w:rFonts w:ascii="Times New Roman" w:cs="Times New Roman" w:eastAsia="Times New Roman" w:hAnsi="Times New Roman"/>
            <w:b w:val="0"/>
            <w:color w:val="000000"/>
            <w:highlight w:val="white"/>
            <w:u w:val="none"/>
            <w:rtl w:val="0"/>
          </w:rPr>
          <w:t xml:space="preserve">(Ripke et al. 2014)</w:t>
        </w:r>
      </w:hyperlink>
      <w:r w:rsidDel="00000000" w:rsidR="00000000" w:rsidRPr="00000000">
        <w:rPr>
          <w:rFonts w:ascii="Times New Roman" w:cs="Times New Roman" w:eastAsia="Times New Roman" w:hAnsi="Times New Roman"/>
          <w:color w:val="222222"/>
          <w:highlight w:val="white"/>
          <w:rtl w:val="0"/>
        </w:rPr>
        <w:t xml:space="preserve">. We filtered out variants with an effect allele frequency &lt; 2% and &gt; 98% in the haplotype reference consortium. Variants with less than 80% minimum imputation quality score were excluded.</w:t>
      </w:r>
      <w:r w:rsidDel="00000000" w:rsidR="00000000" w:rsidRPr="00000000">
        <w:rPr>
          <w:rFonts w:ascii="Times New Roman" w:cs="Times New Roman" w:eastAsia="Times New Roman" w:hAnsi="Times New Roman"/>
          <w:color w:val="222222"/>
          <w:rtl w:val="0"/>
        </w:rPr>
        <w:t xml:space="preserve"> Next, we performed linkage disequilibrium (LD) pruning and clumped the summary statistics, removing variants within 500 kb and R</w:t>
      </w:r>
      <w:r w:rsidDel="00000000" w:rsidR="00000000" w:rsidRPr="00000000">
        <w:rPr>
          <w:rFonts w:ascii="Times New Roman" w:cs="Times New Roman" w:eastAsia="Times New Roman" w:hAnsi="Times New Roman"/>
          <w:color w:val="222222"/>
          <w:vertAlign w:val="superscript"/>
          <w:rtl w:val="0"/>
        </w:rPr>
        <w:t xml:space="preserve">2</w:t>
      </w:r>
      <w:r w:rsidDel="00000000" w:rsidR="00000000" w:rsidRPr="00000000">
        <w:rPr>
          <w:rFonts w:ascii="Gungsuh" w:cs="Gungsuh" w:eastAsia="Gungsuh" w:hAnsi="Gungsuh"/>
          <w:color w:val="222222"/>
          <w:rtl w:val="0"/>
        </w:rPr>
        <w:t xml:space="preserve"> ≥ 0.1 with, another (more significant) marker. After clumping we had 310,534 LD-independent SNPs available for IMAGEN</w:t>
      </w:r>
      <w:r w:rsidDel="00000000" w:rsidR="00000000" w:rsidRPr="00000000">
        <w:rPr>
          <w:rFonts w:ascii="Times New Roman" w:cs="Times New Roman" w:eastAsia="Times New Roman" w:hAnsi="Times New Roman"/>
          <w:i w:val="1"/>
          <w:color w:val="222222"/>
          <w:rtl w:val="0"/>
        </w:rPr>
        <w:t xml:space="preserve"> </w:t>
      </w:r>
      <w:r w:rsidDel="00000000" w:rsidR="00000000" w:rsidRPr="00000000">
        <w:rPr>
          <w:rFonts w:ascii="Times New Roman" w:cs="Times New Roman" w:eastAsia="Times New Roman" w:hAnsi="Times New Roman"/>
          <w:color w:val="222222"/>
          <w:rtl w:val="0"/>
        </w:rPr>
        <w:t xml:space="preserve">and</w:t>
      </w:r>
      <w:r w:rsidDel="00000000" w:rsidR="00000000" w:rsidRPr="00000000">
        <w:rPr>
          <w:rFonts w:ascii="Times New Roman" w:cs="Times New Roman" w:eastAsia="Times New Roman" w:hAnsi="Times New Roman"/>
          <w:i w:val="1"/>
          <w:color w:val="222222"/>
          <w:rtl w:val="0"/>
        </w:rPr>
        <w:t xml:space="preserve"> </w:t>
      </w:r>
      <w:r w:rsidDel="00000000" w:rsidR="00000000" w:rsidRPr="00000000">
        <w:rPr>
          <w:rFonts w:ascii="Times New Roman" w:cs="Times New Roman" w:eastAsia="Times New Roman" w:hAnsi="Times New Roman"/>
          <w:color w:val="222222"/>
          <w:rtl w:val="0"/>
        </w:rPr>
        <w:t xml:space="preserve">286,154 LD-independent SNPs for </w:t>
      </w:r>
      <w:r w:rsidDel="00000000" w:rsidR="00000000" w:rsidRPr="00000000">
        <w:rPr>
          <w:rFonts w:ascii="Times New Roman" w:cs="Times New Roman" w:eastAsia="Times New Roman" w:hAnsi="Times New Roman"/>
          <w:rtl w:val="0"/>
        </w:rPr>
        <w:t xml:space="preserve">IntegraMooDS</w:t>
      </w:r>
      <w:r w:rsidDel="00000000" w:rsidR="00000000" w:rsidRPr="00000000">
        <w:rPr>
          <w:rFonts w:ascii="Times New Roman" w:cs="Times New Roman" w:eastAsia="Times New Roman" w:hAnsi="Times New Roman"/>
          <w:color w:val="222222"/>
          <w:rtl w:val="0"/>
        </w:rPr>
        <w:t xml:space="preserve">. For both samples, we calculated PS</w:t>
      </w:r>
      <w:r w:rsidDel="00000000" w:rsidR="00000000" w:rsidRPr="00000000">
        <w:rPr>
          <w:rFonts w:ascii="Times New Roman" w:cs="Times New Roman" w:eastAsia="Times New Roman" w:hAnsi="Times New Roman"/>
          <w:color w:val="222222"/>
          <w:vertAlign w:val="subscript"/>
          <w:rtl w:val="0"/>
        </w:rPr>
        <w:t xml:space="preserve">i</w:t>
      </w:r>
      <w:r w:rsidDel="00000000" w:rsidR="00000000" w:rsidRPr="00000000">
        <w:rPr>
          <w:rFonts w:ascii="Times New Roman" w:cs="Times New Roman" w:eastAsia="Times New Roman" w:hAnsi="Times New Roman"/>
          <w:color w:val="222222"/>
          <w:rtl w:val="0"/>
        </w:rPr>
        <w:t xml:space="preserve"> by </w:t>
      </w:r>
      <w:r w:rsidDel="00000000" w:rsidR="00000000" w:rsidRPr="00000000">
        <w:rPr>
          <w:rFonts w:ascii="Times New Roman" w:cs="Times New Roman" w:eastAsia="Times New Roman" w:hAnsi="Times New Roman"/>
          <w:color w:val="222222"/>
          <w:highlight w:val="white"/>
          <w:rtl w:val="0"/>
        </w:rPr>
        <w:t xml:space="preserve">multiplying the beta estimate of each variant by the imputation probability for the effect allel</w:t>
      </w:r>
      <w:r w:rsidDel="00000000" w:rsidR="00000000" w:rsidRPr="00000000">
        <w:rPr>
          <w:rFonts w:ascii="Times New Roman" w:cs="Times New Roman" w:eastAsia="Times New Roman" w:hAnsi="Times New Roman"/>
          <w:color w:val="222222"/>
          <w:rtl w:val="0"/>
        </w:rPr>
        <w:t xml:space="preserve">e for each individual. PS</w:t>
      </w:r>
      <w:r w:rsidDel="00000000" w:rsidR="00000000" w:rsidRPr="00000000">
        <w:rPr>
          <w:rFonts w:ascii="Times New Roman" w:cs="Times New Roman" w:eastAsia="Times New Roman" w:hAnsi="Times New Roman"/>
          <w:color w:val="222222"/>
          <w:vertAlign w:val="subscript"/>
          <w:rtl w:val="0"/>
        </w:rPr>
        <w:t xml:space="preserve">i</w:t>
      </w:r>
      <w:r w:rsidDel="00000000" w:rsidR="00000000" w:rsidRPr="00000000">
        <w:rPr>
          <w:rFonts w:ascii="Times New Roman" w:cs="Times New Roman" w:eastAsia="Times New Roman" w:hAnsi="Times New Roman"/>
          <w:color w:val="222222"/>
          <w:rtl w:val="0"/>
        </w:rPr>
        <w:t xml:space="preserve"> ranged from S1 to S10 corresponding to p-value thresholds (P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 from the Savage et al. GWAS </w:t>
      </w:r>
      <w:hyperlink r:id="rId18">
        <w:r w:rsidDel="00000000" w:rsidR="00000000" w:rsidRPr="00000000">
          <w:rPr>
            <w:rFonts w:ascii="Times New Roman" w:cs="Times New Roman" w:eastAsia="Times New Roman" w:hAnsi="Times New Roman"/>
            <w:b w:val="0"/>
            <w:color w:val="000000"/>
            <w:u w:val="none"/>
            <w:rtl w:val="0"/>
          </w:rPr>
          <w:t xml:space="preserve">(Savage et al. 2018)</w:t>
        </w:r>
      </w:hyperlink>
      <w:r w:rsidDel="00000000" w:rsidR="00000000" w:rsidRPr="00000000">
        <w:rPr>
          <w:rFonts w:ascii="Times New Roman" w:cs="Times New Roman" w:eastAsia="Times New Roman" w:hAnsi="Times New Roman"/>
          <w:color w:val="222222"/>
          <w:rtl w:val="0"/>
        </w:rPr>
        <w:t xml:space="preserve"> of: PS</w:t>
      </w:r>
      <w:r w:rsidDel="00000000" w:rsidR="00000000" w:rsidRPr="00000000">
        <w:rPr>
          <w:rFonts w:ascii="Times New Roman" w:cs="Times New Roman" w:eastAsia="Times New Roman" w:hAnsi="Times New Roman"/>
          <w:color w:val="222222"/>
          <w:vertAlign w:val="subscript"/>
          <w:rtl w:val="0"/>
        </w:rPr>
        <w:t xml:space="preserve">1</w:t>
      </w:r>
      <w:r w:rsidDel="00000000" w:rsidR="00000000" w:rsidRPr="00000000">
        <w:rPr>
          <w:rFonts w:ascii="Times New Roman" w:cs="Times New Roman" w:eastAsia="Times New Roman" w:hAnsi="Times New Roman"/>
          <w:color w:val="222222"/>
          <w:rtl w:val="0"/>
        </w:rPr>
        <w:t xml:space="preserve"> (P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&lt;5×10</w:t>
      </w:r>
      <w:r w:rsidDel="00000000" w:rsidR="00000000" w:rsidRPr="00000000">
        <w:rPr>
          <w:rFonts w:ascii="Gungsuh" w:cs="Gungsuh" w:eastAsia="Gungsuh" w:hAnsi="Gungsuh"/>
          <w:color w:val="222222"/>
          <w:vertAlign w:val="superscript"/>
          <w:rtl w:val="0"/>
        </w:rPr>
        <w:t xml:space="preserve">−8</w:t>
      </w:r>
      <w:r w:rsidDel="00000000" w:rsidR="00000000" w:rsidRPr="00000000">
        <w:rPr>
          <w:rFonts w:ascii="Times New Roman" w:cs="Times New Roman" w:eastAsia="Times New Roman" w:hAnsi="Times New Roman"/>
          <w:color w:val="222222"/>
          <w:rtl w:val="0"/>
        </w:rPr>
        <w:t xml:space="preserve">), PS</w:t>
      </w:r>
      <w:r w:rsidDel="00000000" w:rsidR="00000000" w:rsidRPr="00000000">
        <w:rPr>
          <w:rFonts w:ascii="Times New Roman" w:cs="Times New Roman" w:eastAsia="Times New Roman" w:hAnsi="Times New Roman"/>
          <w:color w:val="222222"/>
          <w:vertAlign w:val="subscript"/>
          <w:rtl w:val="0"/>
        </w:rPr>
        <w:t xml:space="preserve">2</w:t>
      </w:r>
      <w:r w:rsidDel="00000000" w:rsidR="00000000" w:rsidRPr="00000000">
        <w:rPr>
          <w:rFonts w:ascii="Times New Roman" w:cs="Times New Roman" w:eastAsia="Times New Roman" w:hAnsi="Times New Roman"/>
          <w:color w:val="222222"/>
          <w:rtl w:val="0"/>
        </w:rPr>
        <w:t xml:space="preserve">(P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&lt;1×10</w:t>
      </w:r>
      <w:r w:rsidDel="00000000" w:rsidR="00000000" w:rsidRPr="00000000">
        <w:rPr>
          <w:rFonts w:ascii="Gungsuh" w:cs="Gungsuh" w:eastAsia="Gungsuh" w:hAnsi="Gungsuh"/>
          <w:color w:val="222222"/>
          <w:vertAlign w:val="superscript"/>
          <w:rtl w:val="0"/>
        </w:rPr>
        <w:t xml:space="preserve">−6</w:t>
      </w:r>
      <w:r w:rsidDel="00000000" w:rsidR="00000000" w:rsidRPr="00000000">
        <w:rPr>
          <w:rFonts w:ascii="Times New Roman" w:cs="Times New Roman" w:eastAsia="Times New Roman" w:hAnsi="Times New Roman"/>
          <w:color w:val="222222"/>
          <w:rtl w:val="0"/>
        </w:rPr>
        <w:t xml:space="preserve">), PS</w:t>
      </w:r>
      <w:r w:rsidDel="00000000" w:rsidR="00000000" w:rsidRPr="00000000">
        <w:rPr>
          <w:rFonts w:ascii="Times New Roman" w:cs="Times New Roman" w:eastAsia="Times New Roman" w:hAnsi="Times New Roman"/>
          <w:color w:val="222222"/>
          <w:vertAlign w:val="subscript"/>
          <w:rtl w:val="0"/>
        </w:rPr>
        <w:t xml:space="preserve">3</w:t>
      </w:r>
      <w:r w:rsidDel="00000000" w:rsidR="00000000" w:rsidRPr="00000000">
        <w:rPr>
          <w:rFonts w:ascii="Times New Roman" w:cs="Times New Roman" w:eastAsia="Times New Roman" w:hAnsi="Times New Roman"/>
          <w:color w:val="222222"/>
          <w:rtl w:val="0"/>
        </w:rPr>
        <w:t xml:space="preserve"> (P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&lt;1×10</w:t>
      </w:r>
      <w:r w:rsidDel="00000000" w:rsidR="00000000" w:rsidRPr="00000000">
        <w:rPr>
          <w:rFonts w:ascii="Gungsuh" w:cs="Gungsuh" w:eastAsia="Gungsuh" w:hAnsi="Gungsuh"/>
          <w:color w:val="222222"/>
          <w:vertAlign w:val="superscript"/>
          <w:rtl w:val="0"/>
        </w:rPr>
        <w:t xml:space="preserve">−4</w:t>
      </w:r>
      <w:r w:rsidDel="00000000" w:rsidR="00000000" w:rsidRPr="00000000">
        <w:rPr>
          <w:rFonts w:ascii="Times New Roman" w:cs="Times New Roman" w:eastAsia="Times New Roman" w:hAnsi="Times New Roman"/>
          <w:color w:val="222222"/>
          <w:rtl w:val="0"/>
        </w:rPr>
        <w:t xml:space="preserve">), PS</w:t>
      </w:r>
      <w:r w:rsidDel="00000000" w:rsidR="00000000" w:rsidRPr="00000000">
        <w:rPr>
          <w:rFonts w:ascii="Times New Roman" w:cs="Times New Roman" w:eastAsia="Times New Roman" w:hAnsi="Times New Roman"/>
          <w:color w:val="222222"/>
          <w:vertAlign w:val="subscript"/>
          <w:rtl w:val="0"/>
        </w:rPr>
        <w:t xml:space="preserve">4</w:t>
      </w:r>
      <w:r w:rsidDel="00000000" w:rsidR="00000000" w:rsidRPr="00000000">
        <w:rPr>
          <w:rFonts w:ascii="Times New Roman" w:cs="Times New Roman" w:eastAsia="Times New Roman" w:hAnsi="Times New Roman"/>
          <w:color w:val="222222"/>
          <w:rtl w:val="0"/>
        </w:rPr>
        <w:t xml:space="preserve"> (P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&lt;0.001), PS</w:t>
      </w:r>
      <w:r w:rsidDel="00000000" w:rsidR="00000000" w:rsidRPr="00000000">
        <w:rPr>
          <w:rFonts w:ascii="Times New Roman" w:cs="Times New Roman" w:eastAsia="Times New Roman" w:hAnsi="Times New Roman"/>
          <w:color w:val="222222"/>
          <w:vertAlign w:val="subscript"/>
          <w:rtl w:val="0"/>
        </w:rPr>
        <w:t xml:space="preserve">5 </w:t>
      </w:r>
      <w:r w:rsidDel="00000000" w:rsidR="00000000" w:rsidRPr="00000000">
        <w:rPr>
          <w:rFonts w:ascii="Times New Roman" w:cs="Times New Roman" w:eastAsia="Times New Roman" w:hAnsi="Times New Roman"/>
          <w:color w:val="222222"/>
          <w:rtl w:val="0"/>
        </w:rPr>
        <w:t xml:space="preserve">(P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&lt;0.01), PS</w:t>
      </w:r>
      <w:r w:rsidDel="00000000" w:rsidR="00000000" w:rsidRPr="00000000">
        <w:rPr>
          <w:rFonts w:ascii="Times New Roman" w:cs="Times New Roman" w:eastAsia="Times New Roman" w:hAnsi="Times New Roman"/>
          <w:color w:val="222222"/>
          <w:vertAlign w:val="subscript"/>
          <w:rtl w:val="0"/>
        </w:rPr>
        <w:t xml:space="preserve">6 </w:t>
      </w:r>
      <w:r w:rsidDel="00000000" w:rsidR="00000000" w:rsidRPr="00000000">
        <w:rPr>
          <w:rFonts w:ascii="Times New Roman" w:cs="Times New Roman" w:eastAsia="Times New Roman" w:hAnsi="Times New Roman"/>
          <w:color w:val="222222"/>
          <w:rtl w:val="0"/>
        </w:rPr>
        <w:t xml:space="preserve">(P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&lt;0.05), PS</w:t>
      </w:r>
      <w:r w:rsidDel="00000000" w:rsidR="00000000" w:rsidRPr="00000000">
        <w:rPr>
          <w:rFonts w:ascii="Times New Roman" w:cs="Times New Roman" w:eastAsia="Times New Roman" w:hAnsi="Times New Roman"/>
          <w:color w:val="222222"/>
          <w:vertAlign w:val="subscript"/>
          <w:rtl w:val="0"/>
        </w:rPr>
        <w:t xml:space="preserve">7</w:t>
      </w:r>
      <w:r w:rsidDel="00000000" w:rsidR="00000000" w:rsidRPr="00000000">
        <w:rPr>
          <w:rFonts w:ascii="Times New Roman" w:cs="Times New Roman" w:eastAsia="Times New Roman" w:hAnsi="Times New Roman"/>
          <w:color w:val="222222"/>
          <w:rtl w:val="0"/>
        </w:rPr>
        <w:t xml:space="preserve"> (P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&lt;0.1), PS</w:t>
      </w:r>
      <w:r w:rsidDel="00000000" w:rsidR="00000000" w:rsidRPr="00000000">
        <w:rPr>
          <w:rFonts w:ascii="Times New Roman" w:cs="Times New Roman" w:eastAsia="Times New Roman" w:hAnsi="Times New Roman"/>
          <w:color w:val="222222"/>
          <w:vertAlign w:val="subscript"/>
          <w:rtl w:val="0"/>
        </w:rPr>
        <w:t xml:space="preserve">8 </w:t>
      </w:r>
      <w:r w:rsidDel="00000000" w:rsidR="00000000" w:rsidRPr="00000000">
        <w:rPr>
          <w:rFonts w:ascii="Times New Roman" w:cs="Times New Roman" w:eastAsia="Times New Roman" w:hAnsi="Times New Roman"/>
          <w:color w:val="222222"/>
          <w:rtl w:val="0"/>
        </w:rPr>
        <w:t xml:space="preserve">(P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&lt;0.2), PS</w:t>
      </w:r>
      <w:r w:rsidDel="00000000" w:rsidR="00000000" w:rsidRPr="00000000">
        <w:rPr>
          <w:rFonts w:ascii="Times New Roman" w:cs="Times New Roman" w:eastAsia="Times New Roman" w:hAnsi="Times New Roman"/>
          <w:color w:val="222222"/>
          <w:vertAlign w:val="subscript"/>
          <w:rtl w:val="0"/>
        </w:rPr>
        <w:t xml:space="preserve">9 </w:t>
      </w:r>
      <w:r w:rsidDel="00000000" w:rsidR="00000000" w:rsidRPr="00000000">
        <w:rPr>
          <w:rFonts w:ascii="Times New Roman" w:cs="Times New Roman" w:eastAsia="Times New Roman" w:hAnsi="Times New Roman"/>
          <w:color w:val="222222"/>
          <w:rtl w:val="0"/>
        </w:rPr>
        <w:t xml:space="preserve">(P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&lt;0.5), and PS</w:t>
      </w:r>
      <w:r w:rsidDel="00000000" w:rsidR="00000000" w:rsidRPr="00000000">
        <w:rPr>
          <w:rFonts w:ascii="Times New Roman" w:cs="Times New Roman" w:eastAsia="Times New Roman" w:hAnsi="Times New Roman"/>
          <w:color w:val="222222"/>
          <w:vertAlign w:val="subscript"/>
          <w:rtl w:val="0"/>
        </w:rPr>
        <w:t xml:space="preserve">10 </w:t>
      </w:r>
      <w:r w:rsidDel="00000000" w:rsidR="00000000" w:rsidRPr="00000000">
        <w:rPr>
          <w:rFonts w:ascii="Times New Roman" w:cs="Times New Roman" w:eastAsia="Times New Roman" w:hAnsi="Times New Roman"/>
          <w:color w:val="222222"/>
          <w:rtl w:val="0"/>
        </w:rPr>
        <w:t xml:space="preserve">(P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&lt;=1.0). </w:t>
      </w:r>
      <w:r w:rsidDel="00000000" w:rsidR="00000000" w:rsidRPr="00000000">
        <w:rPr>
          <w:rtl w:val="0"/>
        </w:rPr>
      </w:r>
    </w:p>
    <w:p w:rsidR="00000000" w:rsidDel="00000000" w:rsidP="00000000" w:rsidRDefault="00000000" w:rsidRPr="00000000" w14:paraId="00000031">
      <w:pPr>
        <w:spacing w:line="480" w:lineRule="auto"/>
        <w:ind w:firstLine="72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Population stratification principal component estimation was performed with the same collection of autosomal SNPs </w:t>
      </w:r>
      <w:r w:rsidDel="00000000" w:rsidR="00000000" w:rsidRPr="00000000">
        <w:rPr>
          <w:rFonts w:ascii="Times New Roman" w:cs="Times New Roman" w:eastAsia="Times New Roman" w:hAnsi="Times New Roman"/>
          <w:color w:val="222222"/>
          <w:rtl w:val="0"/>
        </w:rPr>
        <w:t xml:space="preserve">(IMAGEN: Figure S3; IntegraMooDS: Figure S4). </w:t>
      </w:r>
      <w:r w:rsidDel="00000000" w:rsidR="00000000" w:rsidRPr="00000000">
        <w:rPr>
          <w:rFonts w:ascii="Times New Roman" w:cs="Times New Roman" w:eastAsia="Times New Roman" w:hAnsi="Times New Roman"/>
          <w:color w:val="222222"/>
          <w:highlight w:val="white"/>
          <w:rtl w:val="0"/>
        </w:rPr>
        <w:t xml:space="preserve">We tested the first four principal components for phenotype association (using logistic regression with study indicator variables included as covariates) and evaluated their impact on the genome-wide test statistics using λ. IMAGEN was separately imputed so was not included in the GWAS meta-analysis thus there was not relatedness testing between all three datasets. </w:t>
      </w:r>
    </w:p>
    <w:p w:rsidR="00000000" w:rsidDel="00000000" w:rsidP="00000000" w:rsidRDefault="00000000" w:rsidRPr="00000000" w14:paraId="00000032">
      <w:pPr>
        <w:spacing w:line="480" w:lineRule="auto"/>
        <w:ind w:firstLine="72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33">
      <w:pPr>
        <w:spacing w:line="480" w:lineRule="auto"/>
        <w:jc w:val="both"/>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Image acquisition</w:t>
      </w:r>
    </w:p>
    <w:p w:rsidR="00000000" w:rsidDel="00000000" w:rsidP="00000000" w:rsidRDefault="00000000" w:rsidRPr="00000000" w14:paraId="00000034">
      <w:pPr>
        <w:spacing w:line="480" w:lineRule="auto"/>
        <w:jc w:val="both"/>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color w:val="222222"/>
          <w:highlight w:val="white"/>
          <w:rtl w:val="0"/>
        </w:rPr>
        <w:t xml:space="preserve">In IMAGEN, scans were acquired from 3-Tesla scanners from different manufacturers (Siemens, Munich, Germany; Philips, Best, The Netherlands; General Electrics, Chalfont St Giles, UK; Bruker, Ettlingen, Germany) at eight different sites (King’s College, London; Sir Peter Mansfield Imaging Centre of the University of Nottingham; Trinity College Institute of Neuroscience, Dublin; the Centre de Neuroimagerie de Recherche, Paris; Charité Universitätsmedizin Berlin; Universitätsklinikum Hamburg-Eppendorf; Zentralinstitut für seelische Gesundheit, Mannheim; and the Universitätsklinikum Carl Gustav Carus, Dresden). High-resolution anatomical MRIs were acquired, including a three-dimensional (T1-weighted) magnetization prepared gradient echo sequence (MPRAGE) based on the ADNI protocol (for further details see, </w:t>
      </w:r>
      <w:hyperlink r:id="rId19">
        <w:r w:rsidDel="00000000" w:rsidR="00000000" w:rsidRPr="00000000">
          <w:rPr>
            <w:rFonts w:ascii="Times New Roman" w:cs="Times New Roman" w:eastAsia="Times New Roman" w:hAnsi="Times New Roman"/>
            <w:b w:val="0"/>
            <w:color w:val="000000"/>
            <w:highlight w:val="white"/>
            <w:u w:val="none"/>
            <w:rtl w:val="0"/>
          </w:rPr>
          <w:t xml:space="preserve">Schumann et al. 2010)</w:t>
        </w:r>
      </w:hyperlink>
      <w:r w:rsidDel="00000000" w:rsidR="00000000" w:rsidRPr="00000000">
        <w:rPr>
          <w:rFonts w:ascii="Times New Roman" w:cs="Times New Roman" w:eastAsia="Times New Roman" w:hAnsi="Times New Roman"/>
          <w:color w:val="222222"/>
          <w:highlight w:val="white"/>
          <w:rtl w:val="0"/>
        </w:rPr>
        <w:t xml:space="preserve">.</w:t>
      </w:r>
      <w:r w:rsidDel="00000000" w:rsidR="00000000" w:rsidRPr="00000000">
        <w:rPr>
          <w:rFonts w:ascii="Times New Roman" w:cs="Times New Roman" w:eastAsia="Times New Roman" w:hAnsi="Times New Roman"/>
          <w:i w:val="1"/>
          <w:color w:val="222222"/>
          <w:highlight w:val="white"/>
          <w:rtl w:val="0"/>
        </w:rPr>
        <w:t xml:space="preserve"> </w:t>
      </w:r>
    </w:p>
    <w:p w:rsidR="00000000" w:rsidDel="00000000" w:rsidP="00000000" w:rsidRDefault="00000000" w:rsidRPr="00000000" w14:paraId="00000035">
      <w:pPr>
        <w:spacing w:line="480" w:lineRule="auto"/>
        <w:ind w:firstLine="72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In IntegraMooDS, structural scans were acquired using T1-weighted three-dimensional magnetization prepared rapid gradient echo (MP-RAGE) sequence with an isotropic spatial resolution of 1 mm</w:t>
      </w:r>
      <w:r w:rsidDel="00000000" w:rsidR="00000000" w:rsidRPr="00000000">
        <w:rPr>
          <w:rFonts w:ascii="Times New Roman" w:cs="Times New Roman" w:eastAsia="Times New Roman" w:hAnsi="Times New Roman"/>
          <w:color w:val="222222"/>
          <w:highlight w:val="white"/>
          <w:vertAlign w:val="superscript"/>
          <w:rtl w:val="0"/>
        </w:rPr>
        <w:t xml:space="preserve">3</w:t>
      </w:r>
      <w:r w:rsidDel="00000000" w:rsidR="00000000" w:rsidRPr="00000000">
        <w:rPr>
          <w:rFonts w:ascii="Times New Roman" w:cs="Times New Roman" w:eastAsia="Times New Roman" w:hAnsi="Times New Roman"/>
          <w:color w:val="222222"/>
          <w:highlight w:val="white"/>
          <w:rtl w:val="0"/>
        </w:rPr>
        <w:t xml:space="preserve"> (repetition time (TR) = 1.57 s, echo time (TE) = 2.74 ms, flip angle = 15°). Quality control measurements were conducted at all three study sites (Berlin, Bonn, Mannheim) utilizing a multicenter quality assurance protocol </w:t>
      </w:r>
      <w:hyperlink r:id="rId20">
        <w:r w:rsidDel="00000000" w:rsidR="00000000" w:rsidRPr="00000000">
          <w:rPr>
            <w:rFonts w:ascii="Times New Roman" w:cs="Times New Roman" w:eastAsia="Times New Roman" w:hAnsi="Times New Roman"/>
            <w:b w:val="0"/>
            <w:color w:val="000000"/>
            <w:highlight w:val="white"/>
            <w:u w:val="none"/>
            <w:rtl w:val="0"/>
          </w:rPr>
          <w:t xml:space="preserve">(Friedman and Glover 2006)</w:t>
        </w:r>
      </w:hyperlink>
      <w:r w:rsidDel="00000000" w:rsidR="00000000" w:rsidRPr="00000000">
        <w:rPr>
          <w:rFonts w:ascii="Times New Roman" w:cs="Times New Roman" w:eastAsia="Times New Roman" w:hAnsi="Times New Roman"/>
          <w:color w:val="222222"/>
          <w:highlight w:val="white"/>
          <w:rtl w:val="0"/>
        </w:rPr>
        <w:t xml:space="preserve">, which revealed stable signals over time and comparable quality between sites. Additionally, we included site as a covariate for all statistical analyses.</w:t>
        <w:br w:type="textWrapping"/>
      </w:r>
    </w:p>
    <w:p w:rsidR="00000000" w:rsidDel="00000000" w:rsidP="00000000" w:rsidRDefault="00000000" w:rsidRPr="00000000" w14:paraId="00000036">
      <w:pPr>
        <w:spacing w:line="480" w:lineRule="auto"/>
        <w:jc w:val="both"/>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Processing of structural images</w:t>
      </w:r>
    </w:p>
    <w:p w:rsidR="00000000" w:rsidDel="00000000" w:rsidP="00000000" w:rsidRDefault="00000000" w:rsidRPr="00000000" w14:paraId="00000037">
      <w:pPr>
        <w:spacing w:line="480"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Cortical reconstruction was performed on all T1-weighted images using the Freesurfer image analysis suite (http://surfer.nmr.mgh.harvard.edu/). The technical details of these procedures are described in prior publications </w:t>
      </w:r>
      <w:hyperlink r:id="rId21">
        <w:r w:rsidDel="00000000" w:rsidR="00000000" w:rsidRPr="00000000">
          <w:rPr>
            <w:rFonts w:ascii="Times New Roman" w:cs="Times New Roman" w:eastAsia="Times New Roman" w:hAnsi="Times New Roman"/>
            <w:b w:val="0"/>
            <w:color w:val="000000"/>
            <w:highlight w:val="white"/>
            <w:u w:val="none"/>
            <w:rtl w:val="0"/>
          </w:rPr>
          <w:t xml:space="preserve">(Fischl, Sereno, and Dale 1999; Fischl, Sereno, Tootell, et al. 1999; Fischl and Dale 2000; Fischl et al. 2001, 2004)</w:t>
        </w:r>
      </w:hyperlink>
      <w:r w:rsidDel="00000000" w:rsidR="00000000" w:rsidRPr="00000000">
        <w:rPr>
          <w:rFonts w:ascii="Times New Roman" w:cs="Times New Roman" w:eastAsia="Times New Roman" w:hAnsi="Times New Roman"/>
          <w:color w:val="222222"/>
          <w:highlight w:val="white"/>
          <w:rtl w:val="0"/>
        </w:rPr>
        <w:t xml:space="preserve">. In brief, this process includes motion correction and averaging of multiple volumetric T1 weighted images, removal of non-brain tissue, automated Talairach transformation, segmentation of the subcortical white matter and deep gray matter volumetric structures, intensity normalization, tessellation of the gray matter white matter boundary, automated topology correction, and surface deformation. A number of deformable procedures were performed including surface inflation, registration to a spherical atlas which is based on individual cortical folding patterns to match cortical geometry across subjects, and creation of a variety of surface based data including maps of curvature and sulcal depth. Both intensity and continuity information from the entire three dimensional MR volume in segmentation and deformation procedures to produce representations of cortical thickness, calculated as the closest distance from the gray/white boundary to the gray/CSF boundary at each vertex on the tessellated surface </w:t>
      </w:r>
      <w:hyperlink r:id="rId22">
        <w:r w:rsidDel="00000000" w:rsidR="00000000" w:rsidRPr="00000000">
          <w:rPr>
            <w:rFonts w:ascii="Times New Roman" w:cs="Times New Roman" w:eastAsia="Times New Roman" w:hAnsi="Times New Roman"/>
            <w:b w:val="0"/>
            <w:color w:val="000000"/>
            <w:highlight w:val="white"/>
            <w:u w:val="none"/>
            <w:rtl w:val="0"/>
          </w:rPr>
          <w:t xml:space="preserve">(Fischl and Dale 2000)</w:t>
        </w:r>
      </w:hyperlink>
      <w:r w:rsidDel="00000000" w:rsidR="00000000" w:rsidRPr="00000000">
        <w:rPr>
          <w:rFonts w:ascii="Times New Roman" w:cs="Times New Roman" w:eastAsia="Times New Roman" w:hAnsi="Times New Roman"/>
          <w:color w:val="222222"/>
          <w:highlight w:val="white"/>
          <w:rtl w:val="0"/>
        </w:rPr>
        <w:t xml:space="preserve">. For our analyses, a template of all subjects is created using TFCE_mediation </w:t>
      </w:r>
      <w:hyperlink r:id="rId23">
        <w:r w:rsidDel="00000000" w:rsidR="00000000" w:rsidRPr="00000000">
          <w:rPr>
            <w:rFonts w:ascii="Times New Roman" w:cs="Times New Roman" w:eastAsia="Times New Roman" w:hAnsi="Times New Roman"/>
            <w:b w:val="0"/>
            <w:color w:val="000000"/>
            <w:highlight w:val="white"/>
            <w:u w:val="none"/>
            <w:rtl w:val="0"/>
          </w:rPr>
          <w:t xml:space="preserve">(Lett et al. 2017)</w:t>
        </w:r>
      </w:hyperlink>
      <w:r w:rsidDel="00000000" w:rsidR="00000000" w:rsidRPr="00000000">
        <w:rPr>
          <w:rFonts w:ascii="Times New Roman" w:cs="Times New Roman" w:eastAsia="Times New Roman" w:hAnsi="Times New Roman"/>
          <w:color w:val="222222"/>
          <w:highlight w:val="white"/>
          <w:rtl w:val="0"/>
        </w:rPr>
        <w:t xml:space="preserve"> employing standard Freesurfer methods. A list of subjects is submitted to create a template with an option for either cortical thickness or surface area. For each subject, surface data is then resampled to the ‘fsaverage’ using surface-based registration where the cortical manifold is inflated to a sphere and homologous neuroanatomical features are matched </w:t>
      </w:r>
      <w:hyperlink r:id="rId24">
        <w:r w:rsidDel="00000000" w:rsidR="00000000" w:rsidRPr="00000000">
          <w:rPr>
            <w:rFonts w:ascii="Times New Roman" w:cs="Times New Roman" w:eastAsia="Times New Roman" w:hAnsi="Times New Roman"/>
            <w:b w:val="0"/>
            <w:color w:val="000000"/>
            <w:highlight w:val="white"/>
            <w:u w:val="none"/>
            <w:rtl w:val="0"/>
          </w:rPr>
          <w:t xml:space="preserve">(Fischl, Sereno, and Dale 1999; Fischl, Sereno, Tootell, et al. 1999)</w:t>
        </w:r>
      </w:hyperlink>
      <w:r w:rsidDel="00000000" w:rsidR="00000000" w:rsidRPr="00000000">
        <w:rPr>
          <w:rFonts w:ascii="Times New Roman" w:cs="Times New Roman" w:eastAsia="Times New Roman" w:hAnsi="Times New Roman"/>
          <w:color w:val="222222"/>
          <w:highlight w:val="white"/>
          <w:rtl w:val="0"/>
        </w:rPr>
        <w:t xml:space="preserve">. After registration, all subjects are merged into a single image separately for each hemisphere. The images are smoothed using full-width half maximum (FWHM) of 3mm.</w:t>
      </w:r>
    </w:p>
    <w:p w:rsidR="00000000" w:rsidDel="00000000" w:rsidP="00000000" w:rsidRDefault="00000000" w:rsidRPr="00000000" w14:paraId="00000038">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39">
      <w:pPr>
        <w:spacing w:line="480" w:lineRule="auto"/>
        <w:jc w:val="both"/>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Cortex-wise mediation analysis</w:t>
      </w:r>
    </w:p>
    <w:p w:rsidR="00000000" w:rsidDel="00000000" w:rsidP="00000000" w:rsidRDefault="00000000" w:rsidRPr="00000000" w14:paraId="0000003A">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 xml:space="preserve">TFCE_mediation performs cortex-wise mediation analysis with threshold-free cluster enhancement (TFCE). For a detailed description, please see the methods paper by </w:t>
      </w:r>
      <w:hyperlink r:id="rId25">
        <w:r w:rsidDel="00000000" w:rsidR="00000000" w:rsidRPr="00000000">
          <w:rPr>
            <w:rFonts w:ascii="Times New Roman" w:cs="Times New Roman" w:eastAsia="Times New Roman" w:hAnsi="Times New Roman"/>
            <w:b w:val="0"/>
            <w:color w:val="000000"/>
            <w:highlight w:val="white"/>
            <w:u w:val="none"/>
            <w:rtl w:val="0"/>
          </w:rPr>
          <w:t xml:space="preserve">Lett et al. 2017</w:t>
        </w:r>
      </w:hyperlink>
      <w:r w:rsidDel="00000000" w:rsidR="00000000" w:rsidRPr="00000000">
        <w:rPr>
          <w:rFonts w:ascii="Times New Roman" w:cs="Times New Roman" w:eastAsia="Times New Roman" w:hAnsi="Times New Roman"/>
          <w:color w:val="222222"/>
          <w:highlight w:val="white"/>
          <w:rtl w:val="0"/>
        </w:rPr>
        <w:t xml:space="preserve">. In summary, mediation models can be employed to identify the nature of the relationship between an independent variable and two dependent variables </w:t>
      </w:r>
      <w:hyperlink r:id="rId26">
        <w:r w:rsidDel="00000000" w:rsidR="00000000" w:rsidRPr="00000000">
          <w:rPr>
            <w:rFonts w:ascii="Times New Roman" w:cs="Times New Roman" w:eastAsia="Times New Roman" w:hAnsi="Times New Roman"/>
            <w:b w:val="0"/>
            <w:color w:val="000000"/>
            <w:highlight w:val="white"/>
            <w:u w:val="none"/>
            <w:rtl w:val="0"/>
          </w:rPr>
          <w:t xml:space="preserve">(Baron and Kenny 1986)</w:t>
        </w:r>
      </w:hyperlink>
      <w:r w:rsidDel="00000000" w:rsidR="00000000" w:rsidRPr="00000000">
        <w:rPr>
          <w:rFonts w:ascii="Times New Roman" w:cs="Times New Roman" w:eastAsia="Times New Roman" w:hAnsi="Times New Roman"/>
          <w:color w:val="222222"/>
          <w:highlight w:val="white"/>
          <w:rtl w:val="0"/>
        </w:rPr>
        <w:t xml:space="preserve">. Mediation models assess the relationship between an independent variable and a dependent variable via a mediator (intermediate) variable. The effect of the independent variable on the dependent variable that is explained by a mediator variable is called the indirect effect. TFCE_mediation applies a mediation model at all vertices of a 4D image which then undergo TFCE and significance testing of the indirect effect is assessed via permutation testing. In this study, the mediation analysis was performed with polygenic scores for general intelligence served as the independent variable, cortex-wise images were the mediator variable, and </w:t>
      </w:r>
      <w:r w:rsidDel="00000000" w:rsidR="00000000" w:rsidRPr="00000000">
        <w:rPr>
          <w:rFonts w:ascii="Times New Roman" w:cs="Times New Roman" w:eastAsia="Times New Roman" w:hAnsi="Times New Roman"/>
          <w:i w:val="1"/>
          <w:color w:val="222222"/>
          <w:highlight w:val="white"/>
          <w:rtl w:val="0"/>
        </w:rPr>
        <w:t xml:space="preserve">g</w:t>
      </w:r>
      <w:r w:rsidDel="00000000" w:rsidR="00000000" w:rsidRPr="00000000">
        <w:rPr>
          <w:rFonts w:ascii="Times New Roman" w:cs="Times New Roman" w:eastAsia="Times New Roman" w:hAnsi="Times New Roman"/>
          <w:color w:val="222222"/>
          <w:highlight w:val="white"/>
          <w:rtl w:val="0"/>
        </w:rPr>
        <w:t xml:space="preserve">-factor performance scores were the dependent variable. In TFCE_mediation, two sets of regression are performed to assess the indirect effect using the Aroian variant of the Sobel equation </w:t>
      </w:r>
      <w:hyperlink r:id="rId27">
        <w:r w:rsidDel="00000000" w:rsidR="00000000" w:rsidRPr="00000000">
          <w:rPr>
            <w:rFonts w:ascii="Times New Roman" w:cs="Times New Roman" w:eastAsia="Times New Roman" w:hAnsi="Times New Roman"/>
            <w:b w:val="0"/>
            <w:color w:val="000000"/>
            <w:highlight w:val="white"/>
            <w:u w:val="none"/>
            <w:rtl w:val="0"/>
          </w:rPr>
          <w:t xml:space="preserve">(Sobel 1982, 1986; Mackinnon et al. 1995)</w:t>
        </w:r>
      </w:hyperlink>
      <w:r w:rsidDel="00000000" w:rsidR="00000000" w:rsidRPr="00000000">
        <w:rPr>
          <w:rFonts w:ascii="Times New Roman" w:cs="Times New Roman" w:eastAsia="Times New Roman" w:hAnsi="Times New Roman"/>
          <w:color w:val="222222"/>
          <w:highlight w:val="white"/>
          <w:rtl w:val="0"/>
        </w:rPr>
        <w:t xml:space="preserve">. Significant mediation is assessed using the maximum TFCE transformed z-value from 10,000 permutations. TFCE transformed Sobel z-values that were greater than 95% of the maximum TFCE transformed z-values are deemed significant (i.e., P</w:t>
      </w:r>
      <w:r w:rsidDel="00000000" w:rsidR="00000000" w:rsidRPr="00000000">
        <w:rPr>
          <w:rFonts w:ascii="Times New Roman" w:cs="Times New Roman" w:eastAsia="Times New Roman" w:hAnsi="Times New Roman"/>
          <w:color w:val="222222"/>
          <w:highlight w:val="white"/>
          <w:vertAlign w:val="subscript"/>
          <w:rtl w:val="0"/>
        </w:rPr>
        <w:t xml:space="preserve">FWE-corrected </w:t>
      </w:r>
      <w:r w:rsidDel="00000000" w:rsidR="00000000" w:rsidRPr="00000000">
        <w:rPr>
          <w:rFonts w:ascii="Times New Roman" w:cs="Times New Roman" w:eastAsia="Times New Roman" w:hAnsi="Times New Roman"/>
          <w:color w:val="222222"/>
          <w:highlight w:val="white"/>
          <w:rtl w:val="0"/>
        </w:rPr>
        <w:t xml:space="preserve">&lt; 0.05). </w:t>
      </w:r>
      <w:r w:rsidDel="00000000" w:rsidR="00000000" w:rsidRPr="00000000">
        <w:rPr>
          <w:rtl w:val="0"/>
        </w:rPr>
      </w:r>
    </w:p>
    <w:p w:rsidR="00000000" w:rsidDel="00000000" w:rsidP="00000000" w:rsidRDefault="00000000" w:rsidRPr="00000000" w14:paraId="0000003B">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described in Lett et al. (2017), in TFCE_mediation, sets of regression analyses are performed to assess the indirect (mediation) effect using the Aroian variant of the Sobel equation </w:t>
      </w:r>
      <w:hyperlink r:id="rId28">
        <w:r w:rsidDel="00000000" w:rsidR="00000000" w:rsidRPr="00000000">
          <w:rPr>
            <w:rFonts w:ascii="Times New Roman" w:cs="Times New Roman" w:eastAsia="Times New Roman" w:hAnsi="Times New Roman"/>
            <w:color w:val="1155cc"/>
            <w:u w:val="single"/>
            <w:rtl w:val="0"/>
          </w:rPr>
          <w:t xml:space="preserve">(Mackinnon et al. 1995; Sobel 1982; Sobel 1986)</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C">
      <w:pPr>
        <w:spacing w:after="160" w:line="480" w:lineRule="auto"/>
        <w:jc w:val="center"/>
        <w:rPr>
          <w:rFonts w:ascii="Cambria Math" w:cs="Cambria Math" w:eastAsia="Cambria Math" w:hAnsi="Cambria Math"/>
        </w:rPr>
      </w:pPr>
      <m:oMath>
        <m:r>
          <w:rPr>
            <w:rFonts w:ascii="Cambria Math" w:cs="Cambria Math" w:eastAsia="Cambria Math" w:hAnsi="Cambria Math"/>
          </w:rPr>
          <m:t xml:space="preserve">Z value=</m:t>
        </m:r>
        <m:f>
          <m:fPr>
            <m:ctrlPr>
              <w:rPr>
                <w:rFonts w:ascii="Cambria Math" w:cs="Cambria Math" w:eastAsia="Cambria Math" w:hAnsi="Cambria Math"/>
              </w:rPr>
            </m:ctrlPr>
          </m:fPr>
          <m:num>
            <m:r>
              <w:rPr>
                <w:rFonts w:ascii="Cambria Math" w:cs="Cambria Math" w:eastAsia="Cambria Math" w:hAnsi="Cambria Math"/>
              </w:rPr>
              <m:t xml:space="preserve">a×b</m:t>
            </m:r>
          </m:num>
          <m:den>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m:t>
                </m:r>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a</m:t>
                    </m:r>
                  </m:sub>
                  <m:sup>
                    <m:r>
                      <w:rPr>
                        <w:rFonts w:ascii="Cambria Math" w:cs="Cambria Math" w:eastAsia="Cambria Math" w:hAnsi="Cambria Math"/>
                      </w:rPr>
                      <m:t xml:space="preserve">2</m:t>
                    </m:r>
                  </m:sup>
                </m:sSub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2</m:t>
                    </m:r>
                  </m:sup>
                </m:sSup>
                <m:r>
                  <w:rPr>
                    <w:rFonts w:ascii="Cambria Math" w:cs="Cambria Math" w:eastAsia="Cambria Math" w:hAnsi="Cambria Math"/>
                  </w:rPr>
                  <m:t>×</m:t>
                </m:r>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b</m:t>
                    </m:r>
                  </m:sub>
                  <m:sup>
                    <m:r>
                      <w:rPr>
                        <w:rFonts w:ascii="Cambria Math" w:cs="Cambria Math" w:eastAsia="Cambria Math" w:hAnsi="Cambria Math"/>
                      </w:rPr>
                      <m:t xml:space="preserve">2</m:t>
                    </m:r>
                  </m:sup>
                </m:sSubSup>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a</m:t>
                    </m:r>
                  </m:sub>
                  <m:sup>
                    <m:r>
                      <w:rPr>
                        <w:rFonts w:ascii="Cambria Math" w:cs="Cambria Math" w:eastAsia="Cambria Math" w:hAnsi="Cambria Math"/>
                      </w:rPr>
                      <m:t xml:space="preserve">2</m:t>
                    </m:r>
                  </m:sup>
                </m:sSubSup>
                <m:r>
                  <w:rPr>
                    <w:rFonts w:ascii="Cambria Math" w:cs="Cambria Math" w:eastAsia="Cambria Math" w:hAnsi="Cambria Math"/>
                  </w:rPr>
                  <m:t>×</m:t>
                </m:r>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b</m:t>
                    </m:r>
                  </m:sub>
                  <m:sup>
                    <m:r>
                      <w:rPr>
                        <w:rFonts w:ascii="Cambria Math" w:cs="Cambria Math" w:eastAsia="Cambria Math" w:hAnsi="Cambria Math"/>
                      </w:rPr>
                      <m:t xml:space="preserve">2</m:t>
                    </m:r>
                  </m:sup>
                </m:sSubSup>
              </m:e>
            </m:rad>
          </m:den>
        </m:f>
      </m:oMath>
      <w:r w:rsidDel="00000000" w:rsidR="00000000" w:rsidRPr="00000000">
        <w:rPr>
          <w:rtl w:val="0"/>
        </w:rPr>
      </w:r>
    </w:p>
    <w:p w:rsidR="00000000" w:rsidDel="00000000" w:rsidP="00000000" w:rsidRDefault="00000000" w:rsidRPr="00000000" w14:paraId="0000003D">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Path A, the independent variable (PS</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is regressed on the mediator variable (brain structure). For Path B, the mediator variable (brain structure) is regressed on the dependent variable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including the independent variable (PS</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as a covariate.  The unstandardized regression coefficients (betas: a and b) and the standard errors (S</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and S</w:t>
      </w:r>
      <w:r w:rsidDel="00000000" w:rsidR="00000000" w:rsidRPr="00000000">
        <w:rPr>
          <w:rFonts w:ascii="Times New Roman" w:cs="Times New Roman" w:eastAsia="Times New Roman" w:hAnsi="Times New Roman"/>
          <w:vertAlign w:val="subscript"/>
          <w:rtl w:val="0"/>
        </w:rPr>
        <w:t xml:space="preserve">b</w:t>
      </w:r>
      <w:r w:rsidDel="00000000" w:rsidR="00000000" w:rsidRPr="00000000">
        <w:rPr>
          <w:rFonts w:ascii="Times New Roman" w:cs="Times New Roman" w:eastAsia="Times New Roman" w:hAnsi="Times New Roman"/>
          <w:rtl w:val="0"/>
        </w:rPr>
        <w:t xml:space="preserve">) are used to produce a z-value at each vertex of the cortical surface. The z-value then undergoes vertex-wise TFCE transformation, and significance is determined using permutation testing.  For additional information please see our methods paper as well as recent publications using TFCE_mediation </w:t>
      </w:r>
      <w:hyperlink r:id="rId29">
        <w:r w:rsidDel="00000000" w:rsidR="00000000" w:rsidRPr="00000000">
          <w:rPr>
            <w:rFonts w:ascii="Times New Roman" w:cs="Times New Roman" w:eastAsia="Times New Roman" w:hAnsi="Times New Roman"/>
            <w:color w:val="1155cc"/>
            <w:u w:val="single"/>
            <w:rtl w:val="0"/>
          </w:rPr>
          <w:t xml:space="preserve">(Lett et al. 2017; Vogel et al. 2018; Lett et al. 2018)</w:t>
        </w:r>
      </w:hyperlink>
      <w:r w:rsidDel="00000000" w:rsidR="00000000" w:rsidRPr="00000000">
        <w:rPr>
          <w:rFonts w:ascii="Times New Roman" w:cs="Times New Roman" w:eastAsia="Times New Roman" w:hAnsi="Times New Roman"/>
          <w:rtl w:val="0"/>
        </w:rPr>
        <w:t xml:space="preserve">. Moreover, the source code and further information are available on the website: </w:t>
      </w:r>
      <w:hyperlink r:id="rId30">
        <w:r w:rsidDel="00000000" w:rsidR="00000000" w:rsidRPr="00000000">
          <w:rPr>
            <w:rFonts w:ascii="Times New Roman" w:cs="Times New Roman" w:eastAsia="Times New Roman" w:hAnsi="Times New Roman"/>
            <w:color w:val="1155cc"/>
            <w:u w:val="single"/>
            <w:rtl w:val="0"/>
          </w:rPr>
          <w:t xml:space="preserve">https://github.com/trislett/TFCE_mediation</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E">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3F">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0">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1">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2">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3">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4">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5">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6">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7">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8">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9">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A">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B">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C">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D">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E">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F">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50">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51">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52">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53">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54">
      <w:pPr>
        <w:spacing w:line="480" w:lineRule="auto"/>
        <w:jc w:val="both"/>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Online Vertex-wise Results </w:t>
      </w:r>
    </w:p>
    <w:p w:rsidR="00000000" w:rsidDel="00000000" w:rsidP="00000000" w:rsidRDefault="00000000" w:rsidRPr="00000000" w14:paraId="00000055">
      <w:pPr>
        <w:spacing w:line="480"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The association of PS</w:t>
      </w:r>
      <w:r w:rsidDel="00000000" w:rsidR="00000000" w:rsidRPr="00000000">
        <w:rPr>
          <w:rFonts w:ascii="Times New Roman" w:cs="Times New Roman" w:eastAsia="Times New Roman" w:hAnsi="Times New Roman"/>
          <w:color w:val="222222"/>
          <w:highlight w:val="white"/>
          <w:vertAlign w:val="subscript"/>
          <w:rtl w:val="0"/>
        </w:rPr>
        <w:t xml:space="preserve">i</w:t>
      </w:r>
      <w:r w:rsidDel="00000000" w:rsidR="00000000" w:rsidRPr="00000000">
        <w:rPr>
          <w:rFonts w:ascii="Times New Roman" w:cs="Times New Roman" w:eastAsia="Times New Roman" w:hAnsi="Times New Roman"/>
          <w:color w:val="222222"/>
          <w:highlight w:val="white"/>
          <w:rtl w:val="0"/>
        </w:rPr>
        <w:t xml:space="preserve"> ranging from S1 to S10 on vertex-wise measures of cortical thickness and surface area for different P</w:t>
      </w:r>
      <w:r w:rsidDel="00000000" w:rsidR="00000000" w:rsidRPr="00000000">
        <w:rPr>
          <w:rFonts w:ascii="Times New Roman" w:cs="Times New Roman" w:eastAsia="Times New Roman" w:hAnsi="Times New Roman"/>
          <w:color w:val="222222"/>
          <w:highlight w:val="white"/>
          <w:vertAlign w:val="subscript"/>
          <w:rtl w:val="0"/>
        </w:rPr>
        <w:t xml:space="preserve">FWER-corrected</w:t>
      </w:r>
      <w:r w:rsidDel="00000000" w:rsidR="00000000" w:rsidRPr="00000000">
        <w:rPr>
          <w:rFonts w:ascii="Times New Roman" w:cs="Times New Roman" w:eastAsia="Times New Roman" w:hAnsi="Times New Roman"/>
          <w:color w:val="222222"/>
          <w:highlight w:val="white"/>
          <w:rtl w:val="0"/>
        </w:rPr>
        <w:t xml:space="preserve"> thresholds. P</w:t>
      </w:r>
      <w:r w:rsidDel="00000000" w:rsidR="00000000" w:rsidRPr="00000000">
        <w:rPr>
          <w:rFonts w:ascii="Times New Roman" w:cs="Times New Roman" w:eastAsia="Times New Roman" w:hAnsi="Times New Roman"/>
          <w:color w:val="222222"/>
          <w:highlight w:val="white"/>
          <w:vertAlign w:val="subscript"/>
          <w:rtl w:val="0"/>
        </w:rPr>
        <w:t xml:space="preserve">FWER-corrected</w:t>
      </w:r>
      <w:r w:rsidDel="00000000" w:rsidR="00000000" w:rsidRPr="00000000">
        <w:rPr>
          <w:rFonts w:ascii="Times New Roman" w:cs="Times New Roman" w:eastAsia="Times New Roman" w:hAnsi="Times New Roman"/>
          <w:color w:val="222222"/>
          <w:highlight w:val="white"/>
          <w:rtl w:val="0"/>
        </w:rPr>
        <w:t xml:space="preserve"> &lt; 0.05 represents the family-wise error rate corrected threshold, P</w:t>
      </w:r>
      <w:r w:rsidDel="00000000" w:rsidR="00000000" w:rsidRPr="00000000">
        <w:rPr>
          <w:rFonts w:ascii="Times New Roman" w:cs="Times New Roman" w:eastAsia="Times New Roman" w:hAnsi="Times New Roman"/>
          <w:color w:val="222222"/>
          <w:highlight w:val="white"/>
          <w:vertAlign w:val="subscript"/>
          <w:rtl w:val="0"/>
        </w:rPr>
        <w:t xml:space="preserve">FWER-corrected</w:t>
      </w:r>
      <w:r w:rsidDel="00000000" w:rsidR="00000000" w:rsidRPr="00000000">
        <w:rPr>
          <w:rFonts w:ascii="Times New Roman" w:cs="Times New Roman" w:eastAsia="Times New Roman" w:hAnsi="Times New Roman"/>
          <w:color w:val="222222"/>
          <w:highlight w:val="white"/>
          <w:rtl w:val="0"/>
        </w:rPr>
        <w:t xml:space="preserve"> &lt; 0.005 represents the family-wise error rate as well as Bonferroni corrected threshold for ten multiple comparisons (ten PS</w:t>
      </w:r>
      <w:r w:rsidDel="00000000" w:rsidR="00000000" w:rsidRPr="00000000">
        <w:rPr>
          <w:rFonts w:ascii="Times New Roman" w:cs="Times New Roman" w:eastAsia="Times New Roman" w:hAnsi="Times New Roman"/>
          <w:color w:val="222222"/>
          <w:highlight w:val="white"/>
          <w:vertAlign w:val="subscript"/>
          <w:rtl w:val="0"/>
        </w:rPr>
        <w:t xml:space="preserve">i</w:t>
      </w:r>
      <w:r w:rsidDel="00000000" w:rsidR="00000000" w:rsidRPr="00000000">
        <w:rPr>
          <w:rFonts w:ascii="Times New Roman" w:cs="Times New Roman" w:eastAsia="Times New Roman" w:hAnsi="Times New Roman"/>
          <w:color w:val="222222"/>
          <w:highlight w:val="white"/>
          <w:rtl w:val="0"/>
        </w:rPr>
        <w:t xml:space="preserve"> thresholds). IMAGEN (N = 1,651) included sex, age, site and four population stratification principal components as covariates. IntegraMooDS (N = 742) included subgroup, sex, age, site, and four population stratification principal components as covariates.</w:t>
      </w:r>
    </w:p>
    <w:p w:rsidR="00000000" w:rsidDel="00000000" w:rsidP="00000000" w:rsidRDefault="00000000" w:rsidRPr="00000000" w14:paraId="00000056">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7">
      <w:pPr>
        <w:spacing w:line="480"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Website: </w:t>
      </w:r>
      <w:hyperlink r:id="rId31">
        <w:r w:rsidDel="00000000" w:rsidR="00000000" w:rsidRPr="00000000">
          <w:rPr>
            <w:rFonts w:ascii="Times New Roman" w:cs="Times New Roman" w:eastAsia="Times New Roman" w:hAnsi="Times New Roman"/>
            <w:color w:val="1155cc"/>
            <w:highlight w:val="white"/>
            <w:u w:val="single"/>
            <w:rtl w:val="0"/>
          </w:rPr>
          <w:t xml:space="preserve">https://github.com/bobvogel/g-factor-mediation</w:t>
        </w:r>
      </w:hyperlink>
      <w:r w:rsidDel="00000000" w:rsidR="00000000" w:rsidRPr="00000000">
        <w:rPr>
          <w:rtl w:val="0"/>
        </w:rPr>
      </w:r>
    </w:p>
    <w:p w:rsidR="00000000" w:rsidDel="00000000" w:rsidP="00000000" w:rsidRDefault="00000000" w:rsidRPr="00000000" w14:paraId="00000058">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9">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A">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B">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C">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D">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E">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F">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0">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1">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2">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3">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4">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5">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6">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7">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Figures and tables</w:t>
      </w:r>
    </w:p>
    <w:p w:rsidR="00000000" w:rsidDel="00000000" w:rsidP="00000000" w:rsidRDefault="00000000" w:rsidRPr="00000000" w14:paraId="00000068">
      <w:pPr>
        <w:spacing w:line="480" w:lineRule="auto"/>
        <w:jc w:val="both"/>
        <w:rPr>
          <w:rFonts w:ascii="Times New Roman" w:cs="Times New Roman" w:eastAsia="Times New Roman" w:hAnsi="Times New Roman"/>
          <w:sz w:val="16"/>
          <w:szCs w:val="16"/>
        </w:rPr>
      </w:pPr>
      <w:r w:rsidDel="00000000" w:rsidR="00000000" w:rsidRPr="00000000">
        <w:rPr>
          <w:rtl w:val="0"/>
        </w:rPr>
      </w:r>
    </w:p>
    <w:tbl>
      <w:tblPr>
        <w:tblStyle w:val="Table1"/>
        <w:tblW w:w="94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65"/>
        <w:gridCol w:w="900"/>
        <w:gridCol w:w="1005"/>
        <w:gridCol w:w="1080"/>
        <w:gridCol w:w="1005"/>
        <w:gridCol w:w="1035"/>
        <w:gridCol w:w="1020"/>
        <w:gridCol w:w="990"/>
        <w:gridCol w:w="1050"/>
        <w:tblGridChange w:id="0">
          <w:tblGrid>
            <w:gridCol w:w="1365"/>
            <w:gridCol w:w="900"/>
            <w:gridCol w:w="1005"/>
            <w:gridCol w:w="1080"/>
            <w:gridCol w:w="1005"/>
            <w:gridCol w:w="1035"/>
            <w:gridCol w:w="1020"/>
            <w:gridCol w:w="990"/>
            <w:gridCol w:w="1050"/>
          </w:tblGrid>
        </w:tblGridChange>
      </w:tblGrid>
      <w:tr>
        <w:trPr>
          <w:trHeight w:val="200" w:hRule="atLeast"/>
        </w:trPr>
        <w:tc>
          <w:tcPr>
            <w:tcBorders>
              <w:top w:color="000000" w:space="0" w:sz="4" w:val="single"/>
              <w:bottom w:color="000000" w:space="0" w:sz="4" w:val="single"/>
            </w:tcBorders>
          </w:tcPr>
          <w:p w:rsidR="00000000" w:rsidDel="00000000" w:rsidP="00000000" w:rsidRDefault="00000000" w:rsidRPr="00000000" w14:paraId="0000006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IntegraMooDS</w:t>
            </w:r>
          </w:p>
        </w:tc>
        <w:tc>
          <w:tcPr>
            <w:tcBorders>
              <w:top w:color="000000" w:space="0" w:sz="4" w:val="single"/>
              <w:bottom w:color="000000" w:space="0" w:sz="4" w:val="single"/>
            </w:tcBorders>
          </w:tcPr>
          <w:p w:rsidR="00000000" w:rsidDel="00000000" w:rsidP="00000000" w:rsidRDefault="00000000" w:rsidRPr="00000000" w14:paraId="0000006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w:t>
            </w:r>
          </w:p>
        </w:tc>
        <w:tc>
          <w:tcPr>
            <w:tcBorders>
              <w:top w:color="000000" w:space="0" w:sz="4" w:val="single"/>
              <w:bottom w:color="000000" w:space="0" w:sz="4" w:val="single"/>
            </w:tcBorders>
          </w:tcPr>
          <w:p w:rsidR="00000000" w:rsidDel="00000000" w:rsidP="00000000" w:rsidRDefault="00000000" w:rsidRPr="00000000" w14:paraId="0000006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rel-MDD</w:t>
            </w:r>
          </w:p>
        </w:tc>
        <w:tc>
          <w:tcPr>
            <w:tcBorders>
              <w:top w:color="000000" w:space="0" w:sz="4" w:val="single"/>
              <w:bottom w:color="000000" w:space="0" w:sz="4" w:val="single"/>
            </w:tcBorders>
          </w:tcPr>
          <w:p w:rsidR="00000000" w:rsidDel="00000000" w:rsidP="00000000" w:rsidRDefault="00000000" w:rsidRPr="00000000" w14:paraId="0000006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rel-BPD</w:t>
            </w:r>
          </w:p>
        </w:tc>
        <w:tc>
          <w:tcPr>
            <w:tcBorders>
              <w:top w:color="000000" w:space="0" w:sz="4" w:val="single"/>
              <w:bottom w:color="000000" w:space="0" w:sz="4" w:val="single"/>
            </w:tcBorders>
          </w:tcPr>
          <w:p w:rsidR="00000000" w:rsidDel="00000000" w:rsidP="00000000" w:rsidRDefault="00000000" w:rsidRPr="00000000" w14:paraId="0000006D">
            <w:pPr>
              <w:ind w:right="5"/>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rel-SCZ</w:t>
            </w:r>
          </w:p>
        </w:tc>
        <w:tc>
          <w:tcPr>
            <w:tcBorders>
              <w:top w:color="000000" w:space="0" w:sz="4" w:val="single"/>
              <w:bottom w:color="000000" w:space="0" w:sz="4" w:val="single"/>
            </w:tcBorders>
          </w:tcPr>
          <w:p w:rsidR="00000000" w:rsidDel="00000000" w:rsidP="00000000" w:rsidRDefault="00000000" w:rsidRPr="00000000" w14:paraId="0000006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pat-MDD</w:t>
            </w:r>
          </w:p>
        </w:tc>
        <w:tc>
          <w:tcPr>
            <w:tcBorders>
              <w:top w:color="000000" w:space="0" w:sz="4" w:val="single"/>
              <w:bottom w:color="000000" w:space="0" w:sz="4" w:val="single"/>
            </w:tcBorders>
          </w:tcPr>
          <w:p w:rsidR="00000000" w:rsidDel="00000000" w:rsidP="00000000" w:rsidRDefault="00000000" w:rsidRPr="00000000" w14:paraId="0000006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pat-BPD</w:t>
            </w:r>
          </w:p>
        </w:tc>
        <w:tc>
          <w:tcPr>
            <w:tcBorders>
              <w:top w:color="000000" w:space="0" w:sz="4" w:val="single"/>
              <w:bottom w:color="000000" w:space="0" w:sz="4" w:val="single"/>
            </w:tcBorders>
          </w:tcPr>
          <w:p w:rsidR="00000000" w:rsidDel="00000000" w:rsidP="00000000" w:rsidRDefault="00000000" w:rsidRPr="00000000" w14:paraId="0000007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pat-SCZ</w:t>
            </w:r>
          </w:p>
        </w:tc>
        <w:tc>
          <w:tcPr>
            <w:tcBorders>
              <w:top w:color="000000" w:space="0" w:sz="4" w:val="single"/>
              <w:bottom w:color="000000" w:space="0" w:sz="4" w:val="single"/>
            </w:tcBorders>
          </w:tcPr>
          <w:p w:rsidR="00000000" w:rsidDel="00000000" w:rsidP="00000000" w:rsidRDefault="00000000" w:rsidRPr="00000000" w14:paraId="0000007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Total</w:t>
            </w:r>
          </w:p>
        </w:tc>
      </w:tr>
      <w:tr>
        <w:trPr>
          <w:trHeight w:val="200" w:hRule="atLeast"/>
        </w:trPr>
        <w:tc>
          <w:tcPr/>
          <w:p w:rsidR="00000000" w:rsidDel="00000000" w:rsidP="00000000" w:rsidRDefault="00000000" w:rsidRPr="00000000" w14:paraId="0000007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Berlin</w:t>
            </w:r>
          </w:p>
        </w:tc>
        <w:tc>
          <w:tcPr>
            <w:vAlign w:val="bottom"/>
          </w:tcPr>
          <w:p w:rsidR="00000000" w:rsidDel="00000000" w:rsidP="00000000" w:rsidRDefault="00000000" w:rsidRPr="00000000" w14:paraId="0000007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121</w:t>
            </w:r>
          </w:p>
        </w:tc>
        <w:tc>
          <w:tcPr>
            <w:vAlign w:val="bottom"/>
          </w:tcPr>
          <w:p w:rsidR="00000000" w:rsidDel="00000000" w:rsidP="00000000" w:rsidRDefault="00000000" w:rsidRPr="00000000" w14:paraId="0000007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29</w:t>
            </w:r>
          </w:p>
        </w:tc>
        <w:tc>
          <w:tcPr>
            <w:vAlign w:val="bottom"/>
          </w:tcPr>
          <w:p w:rsidR="00000000" w:rsidDel="00000000" w:rsidP="00000000" w:rsidRDefault="00000000" w:rsidRPr="00000000" w14:paraId="0000007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21</w:t>
            </w:r>
          </w:p>
        </w:tc>
        <w:tc>
          <w:tcPr>
            <w:vAlign w:val="bottom"/>
          </w:tcPr>
          <w:p w:rsidR="00000000" w:rsidDel="00000000" w:rsidP="00000000" w:rsidRDefault="00000000" w:rsidRPr="00000000" w14:paraId="0000007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24</w:t>
            </w:r>
          </w:p>
        </w:tc>
        <w:tc>
          <w:tcPr>
            <w:vAlign w:val="bottom"/>
          </w:tcPr>
          <w:p w:rsidR="00000000" w:rsidDel="00000000" w:rsidP="00000000" w:rsidRDefault="00000000" w:rsidRPr="00000000" w14:paraId="0000007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37</w:t>
            </w:r>
          </w:p>
        </w:tc>
        <w:tc>
          <w:tcPr>
            <w:vAlign w:val="bottom"/>
          </w:tcPr>
          <w:p w:rsidR="00000000" w:rsidDel="00000000" w:rsidP="00000000" w:rsidRDefault="00000000" w:rsidRPr="00000000" w14:paraId="0000007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32</w:t>
            </w:r>
          </w:p>
        </w:tc>
        <w:tc>
          <w:tcPr>
            <w:vAlign w:val="bottom"/>
          </w:tcPr>
          <w:p w:rsidR="00000000" w:rsidDel="00000000" w:rsidP="00000000" w:rsidRDefault="00000000" w:rsidRPr="00000000" w14:paraId="0000007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28</w:t>
            </w:r>
          </w:p>
        </w:tc>
        <w:tc>
          <w:tcPr>
            <w:vAlign w:val="bottom"/>
          </w:tcPr>
          <w:p w:rsidR="00000000" w:rsidDel="00000000" w:rsidP="00000000" w:rsidRDefault="00000000" w:rsidRPr="00000000" w14:paraId="0000007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292</w:t>
            </w:r>
          </w:p>
        </w:tc>
      </w:tr>
      <w:tr>
        <w:trPr>
          <w:trHeight w:val="200" w:hRule="atLeast"/>
        </w:trPr>
        <w:tc>
          <w:tcPr/>
          <w:p w:rsidR="00000000" w:rsidDel="00000000" w:rsidP="00000000" w:rsidRDefault="00000000" w:rsidRPr="00000000" w14:paraId="0000007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Bonn</w:t>
            </w:r>
          </w:p>
        </w:tc>
        <w:tc>
          <w:tcPr>
            <w:vAlign w:val="bottom"/>
          </w:tcPr>
          <w:p w:rsidR="00000000" w:rsidDel="00000000" w:rsidP="00000000" w:rsidRDefault="00000000" w:rsidRPr="00000000" w14:paraId="0000007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117</w:t>
            </w:r>
          </w:p>
        </w:tc>
        <w:tc>
          <w:tcPr>
            <w:vAlign w:val="bottom"/>
          </w:tcPr>
          <w:p w:rsidR="00000000" w:rsidDel="00000000" w:rsidP="00000000" w:rsidRDefault="00000000" w:rsidRPr="00000000" w14:paraId="0000007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40</w:t>
            </w:r>
          </w:p>
        </w:tc>
        <w:tc>
          <w:tcPr>
            <w:vAlign w:val="bottom"/>
          </w:tcPr>
          <w:p w:rsidR="00000000" w:rsidDel="00000000" w:rsidP="00000000" w:rsidRDefault="00000000" w:rsidRPr="00000000" w14:paraId="0000007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33</w:t>
            </w:r>
          </w:p>
        </w:tc>
        <w:tc>
          <w:tcPr>
            <w:vAlign w:val="bottom"/>
          </w:tcPr>
          <w:p w:rsidR="00000000" w:rsidDel="00000000" w:rsidP="00000000" w:rsidRDefault="00000000" w:rsidRPr="00000000" w14:paraId="0000007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20</w:t>
            </w:r>
          </w:p>
        </w:tc>
        <w:tc>
          <w:tcPr>
            <w:vAlign w:val="bottom"/>
          </w:tcPr>
          <w:p w:rsidR="00000000" w:rsidDel="00000000" w:rsidP="00000000" w:rsidRDefault="00000000" w:rsidRPr="00000000" w14:paraId="0000008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0</w:t>
            </w:r>
          </w:p>
        </w:tc>
        <w:tc>
          <w:tcPr>
            <w:vAlign w:val="bottom"/>
          </w:tcPr>
          <w:p w:rsidR="00000000" w:rsidDel="00000000" w:rsidP="00000000" w:rsidRDefault="00000000" w:rsidRPr="00000000" w14:paraId="0000008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0</w:t>
            </w:r>
          </w:p>
        </w:tc>
        <w:tc>
          <w:tcPr>
            <w:vAlign w:val="bottom"/>
          </w:tcPr>
          <w:p w:rsidR="00000000" w:rsidDel="00000000" w:rsidP="00000000" w:rsidRDefault="00000000" w:rsidRPr="00000000" w14:paraId="0000008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0</w:t>
            </w:r>
          </w:p>
        </w:tc>
        <w:tc>
          <w:tcPr>
            <w:vAlign w:val="bottom"/>
          </w:tcPr>
          <w:p w:rsidR="00000000" w:rsidDel="00000000" w:rsidP="00000000" w:rsidRDefault="00000000" w:rsidRPr="00000000" w14:paraId="00000083">
            <w:pPr>
              <w:ind w:right="-115"/>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210</w:t>
            </w:r>
          </w:p>
        </w:tc>
      </w:tr>
      <w:tr>
        <w:trPr>
          <w:trHeight w:val="200" w:hRule="atLeast"/>
        </w:trPr>
        <w:tc>
          <w:tcPr/>
          <w:p w:rsidR="00000000" w:rsidDel="00000000" w:rsidP="00000000" w:rsidRDefault="00000000" w:rsidRPr="00000000" w14:paraId="0000008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Mannheim</w:t>
            </w:r>
          </w:p>
        </w:tc>
        <w:tc>
          <w:tcPr>
            <w:vAlign w:val="bottom"/>
          </w:tcPr>
          <w:p w:rsidR="00000000" w:rsidDel="00000000" w:rsidP="00000000" w:rsidRDefault="00000000" w:rsidRPr="00000000" w14:paraId="0000008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101</w:t>
            </w:r>
          </w:p>
        </w:tc>
        <w:tc>
          <w:tcPr>
            <w:vAlign w:val="bottom"/>
          </w:tcPr>
          <w:p w:rsidR="00000000" w:rsidDel="00000000" w:rsidP="00000000" w:rsidRDefault="00000000" w:rsidRPr="00000000" w14:paraId="0000008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22</w:t>
            </w:r>
          </w:p>
        </w:tc>
        <w:tc>
          <w:tcPr>
            <w:vAlign w:val="bottom"/>
          </w:tcPr>
          <w:p w:rsidR="00000000" w:rsidDel="00000000" w:rsidP="00000000" w:rsidRDefault="00000000" w:rsidRPr="00000000" w14:paraId="0000008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15</w:t>
            </w:r>
          </w:p>
        </w:tc>
        <w:tc>
          <w:tcPr>
            <w:vAlign w:val="bottom"/>
          </w:tcPr>
          <w:p w:rsidR="00000000" w:rsidDel="00000000" w:rsidP="00000000" w:rsidRDefault="00000000" w:rsidRPr="00000000" w14:paraId="0000008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23</w:t>
            </w:r>
          </w:p>
        </w:tc>
        <w:tc>
          <w:tcPr>
            <w:vAlign w:val="bottom"/>
          </w:tcPr>
          <w:p w:rsidR="00000000" w:rsidDel="00000000" w:rsidP="00000000" w:rsidRDefault="00000000" w:rsidRPr="00000000" w14:paraId="0000008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30</w:t>
            </w:r>
          </w:p>
        </w:tc>
        <w:tc>
          <w:tcPr>
            <w:vAlign w:val="bottom"/>
          </w:tcPr>
          <w:p w:rsidR="00000000" w:rsidDel="00000000" w:rsidP="00000000" w:rsidRDefault="00000000" w:rsidRPr="00000000" w14:paraId="0000008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27</w:t>
            </w:r>
          </w:p>
        </w:tc>
        <w:tc>
          <w:tcPr>
            <w:vAlign w:val="bottom"/>
          </w:tcPr>
          <w:p w:rsidR="00000000" w:rsidDel="00000000" w:rsidP="00000000" w:rsidRDefault="00000000" w:rsidRPr="00000000" w14:paraId="0000008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22</w:t>
            </w:r>
          </w:p>
        </w:tc>
        <w:tc>
          <w:tcPr>
            <w:vAlign w:val="bottom"/>
          </w:tcPr>
          <w:p w:rsidR="00000000" w:rsidDel="00000000" w:rsidP="00000000" w:rsidRDefault="00000000" w:rsidRPr="00000000" w14:paraId="0000008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240</w:t>
            </w:r>
          </w:p>
        </w:tc>
      </w:tr>
      <w:tr>
        <w:trPr>
          <w:trHeight w:val="200" w:hRule="atLeast"/>
        </w:trPr>
        <w:tc>
          <w:tcPr/>
          <w:p w:rsidR="00000000" w:rsidDel="00000000" w:rsidP="00000000" w:rsidRDefault="00000000" w:rsidRPr="00000000" w14:paraId="0000008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Sex (m/f)</w:t>
            </w:r>
          </w:p>
        </w:tc>
        <w:tc>
          <w:tcPr/>
          <w:p w:rsidR="00000000" w:rsidDel="00000000" w:rsidP="00000000" w:rsidRDefault="00000000" w:rsidRPr="00000000" w14:paraId="0000008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165/174</w:t>
            </w:r>
          </w:p>
        </w:tc>
        <w:tc>
          <w:tcPr/>
          <w:p w:rsidR="00000000" w:rsidDel="00000000" w:rsidP="00000000" w:rsidRDefault="00000000" w:rsidRPr="00000000" w14:paraId="0000008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61/30</w:t>
            </w:r>
          </w:p>
        </w:tc>
        <w:tc>
          <w:tcPr/>
          <w:p w:rsidR="00000000" w:rsidDel="00000000" w:rsidP="00000000" w:rsidRDefault="00000000" w:rsidRPr="00000000" w14:paraId="0000009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41/28</w:t>
            </w:r>
          </w:p>
        </w:tc>
        <w:tc>
          <w:tcPr/>
          <w:p w:rsidR="00000000" w:rsidDel="00000000" w:rsidP="00000000" w:rsidRDefault="00000000" w:rsidRPr="00000000" w14:paraId="0000009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41/26</w:t>
            </w:r>
          </w:p>
        </w:tc>
        <w:tc>
          <w:tcPr/>
          <w:p w:rsidR="00000000" w:rsidDel="00000000" w:rsidP="00000000" w:rsidRDefault="00000000" w:rsidRPr="00000000" w14:paraId="0000009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23/44</w:t>
            </w:r>
          </w:p>
        </w:tc>
        <w:tc>
          <w:tcPr/>
          <w:p w:rsidR="00000000" w:rsidDel="00000000" w:rsidP="00000000" w:rsidRDefault="00000000" w:rsidRPr="00000000" w14:paraId="0000009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27/33</w:t>
            </w:r>
          </w:p>
        </w:tc>
        <w:tc>
          <w:tcPr/>
          <w:p w:rsidR="00000000" w:rsidDel="00000000" w:rsidP="00000000" w:rsidRDefault="00000000" w:rsidRPr="00000000" w14:paraId="0000009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34/16</w:t>
            </w:r>
          </w:p>
        </w:tc>
        <w:tc>
          <w:tcPr/>
          <w:p w:rsidR="00000000" w:rsidDel="00000000" w:rsidP="00000000" w:rsidRDefault="00000000" w:rsidRPr="00000000" w14:paraId="0000009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401/341</w:t>
            </w:r>
          </w:p>
        </w:tc>
      </w:tr>
      <w:tr>
        <w:trPr>
          <w:trHeight w:val="200" w:hRule="atLeast"/>
        </w:trPr>
        <w:tc>
          <w:tcPr/>
          <w:p w:rsidR="00000000" w:rsidDel="00000000" w:rsidP="00000000" w:rsidRDefault="00000000" w:rsidRPr="00000000" w14:paraId="0000009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Age (M±SD)</w:t>
            </w:r>
          </w:p>
        </w:tc>
        <w:tc>
          <w:tcPr>
            <w:vAlign w:val="bottom"/>
          </w:tcPr>
          <w:p w:rsidR="00000000" w:rsidDel="00000000" w:rsidP="00000000" w:rsidRDefault="00000000" w:rsidRPr="00000000" w14:paraId="0000009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33.4±10.3</w:t>
            </w:r>
          </w:p>
        </w:tc>
        <w:tc>
          <w:tcPr>
            <w:vAlign w:val="bottom"/>
          </w:tcPr>
          <w:p w:rsidR="00000000" w:rsidDel="00000000" w:rsidP="00000000" w:rsidRDefault="00000000" w:rsidRPr="00000000" w14:paraId="0000009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28.0±9.4 </w:t>
            </w:r>
          </w:p>
        </w:tc>
        <w:tc>
          <w:tcPr>
            <w:vAlign w:val="bottom"/>
          </w:tcPr>
          <w:p w:rsidR="00000000" w:rsidDel="00000000" w:rsidP="00000000" w:rsidRDefault="00000000" w:rsidRPr="00000000" w14:paraId="0000009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32.6±12.0</w:t>
            </w:r>
          </w:p>
        </w:tc>
        <w:tc>
          <w:tcPr>
            <w:vAlign w:val="bottom"/>
          </w:tcPr>
          <w:p w:rsidR="00000000" w:rsidDel="00000000" w:rsidP="00000000" w:rsidRDefault="00000000" w:rsidRPr="00000000" w14:paraId="0000009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32.9±12.7 </w:t>
            </w:r>
          </w:p>
        </w:tc>
        <w:tc>
          <w:tcPr>
            <w:vAlign w:val="bottom"/>
          </w:tcPr>
          <w:p w:rsidR="00000000" w:rsidDel="00000000" w:rsidP="00000000" w:rsidRDefault="00000000" w:rsidRPr="00000000" w14:paraId="0000009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38.8±13.2</w:t>
            </w:r>
          </w:p>
        </w:tc>
        <w:tc>
          <w:tcPr>
            <w:vAlign w:val="bottom"/>
          </w:tcPr>
          <w:p w:rsidR="00000000" w:rsidDel="00000000" w:rsidP="00000000" w:rsidRDefault="00000000" w:rsidRPr="00000000" w14:paraId="0000009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36.5±10.8</w:t>
            </w:r>
          </w:p>
        </w:tc>
        <w:tc>
          <w:tcPr>
            <w:vAlign w:val="bottom"/>
          </w:tcPr>
          <w:p w:rsidR="00000000" w:rsidDel="00000000" w:rsidP="00000000" w:rsidRDefault="00000000" w:rsidRPr="00000000" w14:paraId="0000009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33.6±9.0</w:t>
            </w:r>
          </w:p>
        </w:tc>
        <w:tc>
          <w:tcPr>
            <w:vAlign w:val="bottom"/>
          </w:tcPr>
          <w:p w:rsidR="00000000" w:rsidDel="00000000" w:rsidP="00000000" w:rsidRDefault="00000000" w:rsidRPr="00000000" w14:paraId="0000009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33.7±11.1</w:t>
            </w:r>
          </w:p>
        </w:tc>
      </w:tr>
      <w:tr>
        <w:trPr>
          <w:trHeight w:val="200" w:hRule="atLeast"/>
        </w:trPr>
        <w:tc>
          <w:tcPr/>
          <w:p w:rsidR="00000000" w:rsidDel="00000000" w:rsidP="00000000" w:rsidRDefault="00000000" w:rsidRPr="00000000" w14:paraId="0000009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GSI* (M±SD)</w:t>
            </w:r>
          </w:p>
        </w:tc>
        <w:tc>
          <w:tcPr>
            <w:vAlign w:val="bottom"/>
          </w:tcPr>
          <w:p w:rsidR="00000000" w:rsidDel="00000000" w:rsidP="00000000" w:rsidRDefault="00000000" w:rsidRPr="00000000" w14:paraId="000000A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0.17±0.17</w:t>
            </w:r>
          </w:p>
        </w:tc>
        <w:tc>
          <w:tcPr>
            <w:vAlign w:val="bottom"/>
          </w:tcPr>
          <w:p w:rsidR="00000000" w:rsidDel="00000000" w:rsidP="00000000" w:rsidRDefault="00000000" w:rsidRPr="00000000" w14:paraId="000000A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0.23±0.23</w:t>
            </w:r>
          </w:p>
        </w:tc>
        <w:tc>
          <w:tcPr>
            <w:vAlign w:val="bottom"/>
          </w:tcPr>
          <w:p w:rsidR="00000000" w:rsidDel="00000000" w:rsidP="00000000" w:rsidRDefault="00000000" w:rsidRPr="00000000" w14:paraId="000000A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0.20±0.22</w:t>
            </w:r>
          </w:p>
        </w:tc>
        <w:tc>
          <w:tcPr>
            <w:vAlign w:val="bottom"/>
          </w:tcPr>
          <w:p w:rsidR="00000000" w:rsidDel="00000000" w:rsidP="00000000" w:rsidRDefault="00000000" w:rsidRPr="00000000" w14:paraId="000000A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0.28±0.35 </w:t>
            </w:r>
          </w:p>
        </w:tc>
        <w:tc>
          <w:tcPr>
            <w:vAlign w:val="bottom"/>
          </w:tcPr>
          <w:p w:rsidR="00000000" w:rsidDel="00000000" w:rsidP="00000000" w:rsidRDefault="00000000" w:rsidRPr="00000000" w14:paraId="000000A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0.94±0.58</w:t>
            </w:r>
          </w:p>
        </w:tc>
        <w:tc>
          <w:tcPr>
            <w:vAlign w:val="bottom"/>
          </w:tcPr>
          <w:p w:rsidR="00000000" w:rsidDel="00000000" w:rsidP="00000000" w:rsidRDefault="00000000" w:rsidRPr="00000000" w14:paraId="000000A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0.97±0.53</w:t>
            </w:r>
          </w:p>
        </w:tc>
        <w:tc>
          <w:tcPr>
            <w:vAlign w:val="bottom"/>
          </w:tcPr>
          <w:p w:rsidR="00000000" w:rsidDel="00000000" w:rsidP="00000000" w:rsidRDefault="00000000" w:rsidRPr="00000000" w14:paraId="000000A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0.68±0.48</w:t>
            </w:r>
          </w:p>
        </w:tc>
        <w:tc>
          <w:tcPr>
            <w:vAlign w:val="bottom"/>
          </w:tcPr>
          <w:p w:rsidR="00000000" w:rsidDel="00000000" w:rsidP="00000000" w:rsidRDefault="00000000" w:rsidRPr="00000000" w14:paraId="000000A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0.34±0.41</w:t>
            </w:r>
          </w:p>
        </w:tc>
      </w:tr>
      <w:tr>
        <w:trPr>
          <w:trHeight w:val="200" w:hRule="atLeast"/>
        </w:trPr>
        <w:tc>
          <w:tcPr/>
          <w:p w:rsidR="00000000" w:rsidDel="00000000" w:rsidP="00000000" w:rsidRDefault="00000000" w:rsidRPr="00000000" w14:paraId="000000A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PST* (M±SD)</w:t>
            </w:r>
          </w:p>
        </w:tc>
        <w:tc>
          <w:tcPr>
            <w:vAlign w:val="bottom"/>
          </w:tcPr>
          <w:p w:rsidR="00000000" w:rsidDel="00000000" w:rsidP="00000000" w:rsidRDefault="00000000" w:rsidRPr="00000000" w14:paraId="000000A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12.6±11.0</w:t>
            </w:r>
          </w:p>
        </w:tc>
        <w:tc>
          <w:tcPr>
            <w:vAlign w:val="bottom"/>
          </w:tcPr>
          <w:p w:rsidR="00000000" w:rsidDel="00000000" w:rsidP="00000000" w:rsidRDefault="00000000" w:rsidRPr="00000000" w14:paraId="000000A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15.7±12.3</w:t>
            </w:r>
          </w:p>
        </w:tc>
        <w:tc>
          <w:tcPr>
            <w:vAlign w:val="bottom"/>
          </w:tcPr>
          <w:p w:rsidR="00000000" w:rsidDel="00000000" w:rsidP="00000000" w:rsidRDefault="00000000" w:rsidRPr="00000000" w14:paraId="000000A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14.0±12.5</w:t>
            </w:r>
          </w:p>
        </w:tc>
        <w:tc>
          <w:tcPr>
            <w:vAlign w:val="bottom"/>
          </w:tcPr>
          <w:p w:rsidR="00000000" w:rsidDel="00000000" w:rsidP="00000000" w:rsidRDefault="00000000" w:rsidRPr="00000000" w14:paraId="000000A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17.3±16.3</w:t>
            </w:r>
          </w:p>
        </w:tc>
        <w:tc>
          <w:tcPr>
            <w:vAlign w:val="bottom"/>
          </w:tcPr>
          <w:p w:rsidR="00000000" w:rsidDel="00000000" w:rsidP="00000000" w:rsidRDefault="00000000" w:rsidRPr="00000000" w14:paraId="000000A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45.5±17.6</w:t>
            </w:r>
          </w:p>
        </w:tc>
        <w:tc>
          <w:tcPr>
            <w:vAlign w:val="bottom"/>
          </w:tcPr>
          <w:p w:rsidR="00000000" w:rsidDel="00000000" w:rsidP="00000000" w:rsidRDefault="00000000" w:rsidRPr="00000000" w14:paraId="000000A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35.7±18.1</w:t>
            </w:r>
          </w:p>
        </w:tc>
        <w:tc>
          <w:tcPr>
            <w:vAlign w:val="bottom"/>
          </w:tcPr>
          <w:p w:rsidR="00000000" w:rsidDel="00000000" w:rsidP="00000000" w:rsidRDefault="00000000" w:rsidRPr="00000000" w14:paraId="000000A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37.6±21.1</w:t>
            </w:r>
          </w:p>
        </w:tc>
        <w:tc>
          <w:tcPr>
            <w:vAlign w:val="bottom"/>
          </w:tcPr>
          <w:p w:rsidR="00000000" w:rsidDel="00000000" w:rsidP="00000000" w:rsidRDefault="00000000" w:rsidRPr="00000000" w14:paraId="000000B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20.1±18.1</w:t>
            </w:r>
          </w:p>
        </w:tc>
      </w:tr>
      <w:tr>
        <w:trPr>
          <w:trHeight w:val="200" w:hRule="atLeast"/>
        </w:trPr>
        <w:tc>
          <w:tcPr>
            <w:tcBorders>
              <w:bottom w:color="000000" w:space="0" w:sz="4" w:val="single"/>
            </w:tcBorders>
          </w:tcPr>
          <w:p w:rsidR="00000000" w:rsidDel="00000000" w:rsidP="00000000" w:rsidRDefault="00000000" w:rsidRPr="00000000" w14:paraId="000000B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PSDI** (M±SD)</w:t>
            </w:r>
          </w:p>
        </w:tc>
        <w:tc>
          <w:tcPr>
            <w:tcBorders>
              <w:bottom w:color="000000" w:space="0" w:sz="4" w:val="single"/>
            </w:tcBorders>
            <w:vAlign w:val="bottom"/>
          </w:tcPr>
          <w:p w:rsidR="00000000" w:rsidDel="00000000" w:rsidP="00000000" w:rsidRDefault="00000000" w:rsidRPr="00000000" w14:paraId="000000B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1.12±0.36</w:t>
            </w:r>
          </w:p>
        </w:tc>
        <w:tc>
          <w:tcPr>
            <w:tcBorders>
              <w:bottom w:color="000000" w:space="0" w:sz="4" w:val="single"/>
            </w:tcBorders>
            <w:vAlign w:val="bottom"/>
          </w:tcPr>
          <w:p w:rsidR="00000000" w:rsidDel="00000000" w:rsidP="00000000" w:rsidRDefault="00000000" w:rsidRPr="00000000" w14:paraId="000000B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1.12±0.28</w:t>
            </w:r>
          </w:p>
        </w:tc>
        <w:tc>
          <w:tcPr>
            <w:tcBorders>
              <w:bottom w:color="000000" w:space="0" w:sz="4" w:val="single"/>
            </w:tcBorders>
            <w:vAlign w:val="bottom"/>
          </w:tcPr>
          <w:p w:rsidR="00000000" w:rsidDel="00000000" w:rsidP="00000000" w:rsidRDefault="00000000" w:rsidRPr="00000000" w14:paraId="000000B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1.13±0.31</w:t>
            </w:r>
          </w:p>
        </w:tc>
        <w:tc>
          <w:tcPr>
            <w:tcBorders>
              <w:bottom w:color="000000" w:space="0" w:sz="4" w:val="single"/>
            </w:tcBorders>
            <w:vAlign w:val="bottom"/>
          </w:tcPr>
          <w:p w:rsidR="00000000" w:rsidDel="00000000" w:rsidP="00000000" w:rsidRDefault="00000000" w:rsidRPr="00000000" w14:paraId="000000B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1.31±0.54</w:t>
            </w:r>
          </w:p>
        </w:tc>
        <w:tc>
          <w:tcPr>
            <w:tcBorders>
              <w:bottom w:color="000000" w:space="0" w:sz="4" w:val="single"/>
            </w:tcBorders>
            <w:vAlign w:val="bottom"/>
          </w:tcPr>
          <w:p w:rsidR="00000000" w:rsidDel="00000000" w:rsidP="00000000" w:rsidRDefault="00000000" w:rsidRPr="00000000" w14:paraId="000000B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1.73±0.37</w:t>
            </w:r>
          </w:p>
        </w:tc>
        <w:tc>
          <w:tcPr>
            <w:tcBorders>
              <w:bottom w:color="000000" w:space="0" w:sz="4" w:val="single"/>
            </w:tcBorders>
            <w:vAlign w:val="bottom"/>
          </w:tcPr>
          <w:p w:rsidR="00000000" w:rsidDel="00000000" w:rsidP="00000000" w:rsidRDefault="00000000" w:rsidRPr="00000000" w14:paraId="000000B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1.5±0.48</w:t>
            </w:r>
          </w:p>
        </w:tc>
        <w:tc>
          <w:tcPr>
            <w:tcBorders>
              <w:bottom w:color="000000" w:space="0" w:sz="4" w:val="single"/>
            </w:tcBorders>
            <w:vAlign w:val="bottom"/>
          </w:tcPr>
          <w:p w:rsidR="00000000" w:rsidDel="00000000" w:rsidP="00000000" w:rsidRDefault="00000000" w:rsidRPr="00000000" w14:paraId="000000B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1.52±0.39</w:t>
            </w:r>
          </w:p>
        </w:tc>
        <w:tc>
          <w:tcPr>
            <w:tcBorders>
              <w:bottom w:color="000000" w:space="0" w:sz="4" w:val="single"/>
            </w:tcBorders>
            <w:vAlign w:val="bottom"/>
          </w:tcPr>
          <w:p w:rsidR="00000000" w:rsidDel="00000000" w:rsidP="00000000" w:rsidRDefault="00000000" w:rsidRPr="00000000" w14:paraId="000000B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1.3±0.44</w:t>
            </w:r>
          </w:p>
        </w:tc>
      </w:tr>
    </w:tbl>
    <w:p w:rsidR="00000000" w:rsidDel="00000000" w:rsidP="00000000" w:rsidRDefault="00000000" w:rsidRPr="00000000" w14:paraId="000000BA">
      <w:pPr>
        <w:spacing w:after="160" w:line="480" w:lineRule="auto"/>
        <w:jc w:val="both"/>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b w:val="1"/>
          <w:rtl w:val="0"/>
        </w:rPr>
        <w:t xml:space="preserve">Table S1. </w:t>
      </w:r>
      <w:r w:rsidDel="00000000" w:rsidR="00000000" w:rsidRPr="00000000">
        <w:rPr>
          <w:rFonts w:ascii="Times New Roman" w:cs="Times New Roman" w:eastAsia="Times New Roman" w:hAnsi="Times New Roman"/>
          <w:rtl w:val="0"/>
        </w:rPr>
        <w:t xml:space="preserve">Demographic characteristics of the IntegraMooDS sample. * data not available for N=14, **  data not available for N=18. f, female; GSI, symptom checklist 90 global severity index; m, male; M, mean; PSDI, symptom checklist 90 positive symptom distress index; PST, symptom checklist 90 positive symptom total; pat-BPD, patients with bipolar disorder; pat-UPD, patients with unipolar depression; pat-SCZ, patients with schizophrenia; rel-BPD, relatives of patients with bipolar disorder; rel-UPD, relatives of patients with unipolar depression; rel-SCZ, relatives of patients with schizophrenia; SD, standard deviation.</w:t>
      </w:r>
    </w:p>
    <w:p w:rsidR="00000000" w:rsidDel="00000000" w:rsidP="00000000" w:rsidRDefault="00000000" w:rsidRPr="00000000" w14:paraId="000000BB">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line="480" w:lineRule="auto"/>
        <w:jc w:val="both"/>
        <w:rPr>
          <w:rFonts w:ascii="Times New Roman" w:cs="Times New Roman" w:eastAsia="Times New Roman" w:hAnsi="Times New Roman"/>
        </w:rPr>
      </w:pPr>
      <w:r w:rsidDel="00000000" w:rsidR="00000000" w:rsidRPr="00000000">
        <w:rPr>
          <w:rtl w:val="0"/>
        </w:rPr>
      </w:r>
    </w:p>
    <w:tbl>
      <w:tblPr>
        <w:tblStyle w:val="Table2"/>
        <w:tblW w:w="832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81"/>
        <w:gridCol w:w="1586"/>
        <w:gridCol w:w="1586"/>
        <w:gridCol w:w="1586"/>
        <w:gridCol w:w="1586"/>
        <w:tblGridChange w:id="0">
          <w:tblGrid>
            <w:gridCol w:w="1981"/>
            <w:gridCol w:w="1586"/>
            <w:gridCol w:w="1586"/>
            <w:gridCol w:w="1586"/>
            <w:gridCol w:w="1586"/>
          </w:tblGrid>
        </w:tblGridChange>
      </w:tblGrid>
      <w:tr>
        <w:tc>
          <w:tcPr>
            <w:tcBorders>
              <w:top w:color="000000" w:space="0" w:sz="8" w:val="single"/>
              <w:bottom w:color="000000" w:space="0" w:sz="8" w:val="single"/>
            </w:tcBorders>
          </w:tcPr>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C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pat-MDD</w:t>
            </w:r>
          </w:p>
        </w:tc>
        <w:tc>
          <w:tcPr>
            <w:tcBorders>
              <w:top w:color="000000" w:space="0" w:sz="4" w:val="single"/>
              <w:bottom w:color="000000" w:space="0" w:sz="4" w:val="single"/>
            </w:tcBorders>
          </w:tcPr>
          <w:p w:rsidR="00000000" w:rsidDel="00000000" w:rsidP="00000000" w:rsidRDefault="00000000" w:rsidRPr="00000000" w14:paraId="000000C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pat-BPD</w:t>
            </w:r>
          </w:p>
        </w:tc>
        <w:tc>
          <w:tcPr>
            <w:tcBorders>
              <w:top w:color="000000" w:space="0" w:sz="4" w:val="single"/>
              <w:bottom w:color="000000" w:space="0" w:sz="4" w:val="single"/>
            </w:tcBorders>
          </w:tcPr>
          <w:p w:rsidR="00000000" w:rsidDel="00000000" w:rsidP="00000000" w:rsidRDefault="00000000" w:rsidRPr="00000000" w14:paraId="000000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pat-SCZ</w:t>
            </w:r>
          </w:p>
        </w:tc>
        <w:tc>
          <w:tcPr>
            <w:tcBorders>
              <w:top w:color="000000" w:space="0" w:sz="4" w:val="single"/>
              <w:bottom w:color="000000" w:space="0" w:sz="4" w:val="single"/>
            </w:tcBorders>
          </w:tcPr>
          <w:p w:rsidR="00000000" w:rsidDel="00000000" w:rsidP="00000000" w:rsidRDefault="00000000" w:rsidRPr="00000000" w14:paraId="000000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r>
      <w:tr>
        <w:tc>
          <w:tcPr>
            <w:tcBorders>
              <w:top w:color="000000" w:space="0" w:sz="8" w:val="single"/>
            </w:tcBorders>
          </w:tcPr>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Unmedicated</w:t>
            </w:r>
          </w:p>
        </w:tc>
        <w:tc>
          <w:tcPr>
            <w:vAlign w:val="bottom"/>
          </w:tcPr>
          <w:p w:rsidR="00000000" w:rsidDel="00000000" w:rsidP="00000000" w:rsidRDefault="00000000" w:rsidRPr="00000000" w14:paraId="000000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vAlign w:val="bottom"/>
          </w:tcPr>
          <w:p w:rsidR="00000000" w:rsidDel="00000000" w:rsidP="00000000" w:rsidRDefault="00000000" w:rsidRPr="00000000" w14:paraId="000000C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bottom"/>
          </w:tcPr>
          <w:p w:rsidR="00000000" w:rsidDel="00000000" w:rsidP="00000000" w:rsidRDefault="00000000" w:rsidRPr="00000000" w14:paraId="000000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bottom"/>
          </w:tcPr>
          <w:p w:rsidR="00000000" w:rsidDel="00000000" w:rsidP="00000000" w:rsidRDefault="00000000" w:rsidRPr="00000000" w14:paraId="000000D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c>
          <w:tcPr/>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SSRI</w:t>
            </w:r>
          </w:p>
        </w:tc>
        <w:tc>
          <w:tcPr>
            <w:vAlign w:val="bottom"/>
          </w:tcPr>
          <w:p w:rsidR="00000000" w:rsidDel="00000000" w:rsidP="00000000" w:rsidRDefault="00000000" w:rsidRPr="00000000" w14:paraId="000000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vAlign w:val="bottom"/>
          </w:tcPr>
          <w:p w:rsidR="00000000" w:rsidDel="00000000" w:rsidP="00000000" w:rsidRDefault="00000000" w:rsidRPr="00000000" w14:paraId="000000D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vAlign w:val="bottom"/>
          </w:tcPr>
          <w:p w:rsidR="00000000" w:rsidDel="00000000" w:rsidP="00000000" w:rsidRDefault="00000000" w:rsidRPr="00000000" w14:paraId="000000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vAlign w:val="bottom"/>
          </w:tcPr>
          <w:p w:rsidR="00000000" w:rsidDel="00000000" w:rsidP="00000000" w:rsidRDefault="00000000" w:rsidRPr="00000000" w14:paraId="000000D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r>
      <w:tr>
        <w:tc>
          <w:tcPr/>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SMS</w:t>
            </w:r>
          </w:p>
        </w:tc>
        <w:tc>
          <w:tcPr>
            <w:vAlign w:val="bottom"/>
          </w:tcPr>
          <w:p w:rsidR="00000000" w:rsidDel="00000000" w:rsidP="00000000" w:rsidRDefault="00000000" w:rsidRPr="00000000" w14:paraId="000000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0D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bottom"/>
          </w:tcPr>
          <w:p w:rsidR="00000000" w:rsidDel="00000000" w:rsidP="00000000" w:rsidRDefault="00000000" w:rsidRPr="00000000" w14:paraId="000000D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0D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c>
          <w:tcPr/>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SNRI</w:t>
            </w:r>
          </w:p>
        </w:tc>
        <w:tc>
          <w:tcPr>
            <w:vAlign w:val="bottom"/>
          </w:tcPr>
          <w:p w:rsidR="00000000" w:rsidDel="00000000" w:rsidP="00000000" w:rsidRDefault="00000000" w:rsidRPr="00000000" w14:paraId="000000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vAlign w:val="bottom"/>
          </w:tcPr>
          <w:p w:rsidR="00000000" w:rsidDel="00000000" w:rsidP="00000000" w:rsidRDefault="00000000" w:rsidRPr="00000000" w14:paraId="000000D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bottom"/>
          </w:tcPr>
          <w:p w:rsidR="00000000" w:rsidDel="00000000" w:rsidP="00000000" w:rsidRDefault="00000000" w:rsidRPr="00000000" w14:paraId="000000D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0E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c>
          <w:tcPr/>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NDRI</w:t>
            </w:r>
          </w:p>
        </w:tc>
        <w:tc>
          <w:tcPr>
            <w:vAlign w:val="bottom"/>
          </w:tcPr>
          <w:p w:rsidR="00000000" w:rsidDel="00000000" w:rsidP="00000000" w:rsidRDefault="00000000" w:rsidRPr="00000000" w14:paraId="000000E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bottom"/>
          </w:tcPr>
          <w:p w:rsidR="00000000" w:rsidDel="00000000" w:rsidP="00000000" w:rsidRDefault="00000000" w:rsidRPr="00000000" w14:paraId="000000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bottom"/>
          </w:tcPr>
          <w:p w:rsidR="00000000" w:rsidDel="00000000" w:rsidP="00000000" w:rsidRDefault="00000000" w:rsidRPr="00000000" w14:paraId="000000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0E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c>
          <w:tcPr/>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MAO-I</w:t>
            </w:r>
          </w:p>
        </w:tc>
        <w:tc>
          <w:tcPr>
            <w:vAlign w:val="bottom"/>
          </w:tcPr>
          <w:p w:rsidR="00000000" w:rsidDel="00000000" w:rsidP="00000000" w:rsidRDefault="00000000" w:rsidRPr="00000000" w14:paraId="000000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0E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0E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0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c>
          <w:tcPr/>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NaSSA</w:t>
            </w:r>
          </w:p>
        </w:tc>
        <w:tc>
          <w:tcPr>
            <w:vAlign w:val="bottom"/>
          </w:tcPr>
          <w:p w:rsidR="00000000" w:rsidDel="00000000" w:rsidP="00000000" w:rsidRDefault="00000000" w:rsidRPr="00000000" w14:paraId="000000E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vAlign w:val="bottom"/>
          </w:tcPr>
          <w:p w:rsidR="00000000" w:rsidDel="00000000" w:rsidP="00000000" w:rsidRDefault="00000000" w:rsidRPr="00000000" w14:paraId="000000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0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0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c>
          <w:tcPr/>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A-AD</w:t>
            </w:r>
          </w:p>
        </w:tc>
        <w:tc>
          <w:tcPr>
            <w:vAlign w:val="bottom"/>
          </w:tcPr>
          <w:p w:rsidR="00000000" w:rsidDel="00000000" w:rsidP="00000000" w:rsidRDefault="00000000" w:rsidRPr="00000000" w14:paraId="000000F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0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0F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bottom"/>
          </w:tcPr>
          <w:p w:rsidR="00000000" w:rsidDel="00000000" w:rsidP="00000000" w:rsidRDefault="00000000" w:rsidRPr="00000000" w14:paraId="000000F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trHeight w:val="240" w:hRule="atLeast"/>
        </w:trPr>
        <w:tc>
          <w:tcPr/>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TCA</w:t>
            </w:r>
          </w:p>
        </w:tc>
        <w:tc>
          <w:tcPr>
            <w:vAlign w:val="bottom"/>
          </w:tcPr>
          <w:p w:rsidR="00000000" w:rsidDel="00000000" w:rsidP="00000000" w:rsidRDefault="00000000" w:rsidRPr="00000000" w14:paraId="000000F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vAlign w:val="bottom"/>
          </w:tcPr>
          <w:p w:rsidR="00000000" w:rsidDel="00000000" w:rsidP="00000000" w:rsidRDefault="00000000" w:rsidRPr="00000000" w14:paraId="000000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0F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0F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c>
          <w:tcPr/>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FGA</w:t>
            </w:r>
          </w:p>
        </w:tc>
        <w:tc>
          <w:tcPr>
            <w:vAlign w:val="bottom"/>
          </w:tcPr>
          <w:p w:rsidR="00000000" w:rsidDel="00000000" w:rsidP="00000000" w:rsidRDefault="00000000" w:rsidRPr="00000000" w14:paraId="000000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0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0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bottom"/>
          </w:tcPr>
          <w:p w:rsidR="00000000" w:rsidDel="00000000" w:rsidP="00000000" w:rsidRDefault="00000000" w:rsidRPr="00000000" w14:paraId="000000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c>
          <w:tcPr/>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SGA</w:t>
            </w:r>
          </w:p>
        </w:tc>
        <w:tc>
          <w:tcPr>
            <w:vAlign w:val="bottom"/>
          </w:tcPr>
          <w:p w:rsidR="00000000" w:rsidDel="00000000" w:rsidP="00000000" w:rsidRDefault="00000000" w:rsidRPr="00000000" w14:paraId="000001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vAlign w:val="bottom"/>
          </w:tcPr>
          <w:p w:rsidR="00000000" w:rsidDel="00000000" w:rsidP="00000000" w:rsidRDefault="00000000" w:rsidRPr="00000000" w14:paraId="000001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vAlign w:val="bottom"/>
          </w:tcPr>
          <w:p w:rsidR="00000000" w:rsidDel="00000000" w:rsidP="00000000" w:rsidRDefault="00000000" w:rsidRPr="00000000" w14:paraId="000001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w:t>
            </w:r>
          </w:p>
        </w:tc>
        <w:tc>
          <w:tcPr>
            <w:vAlign w:val="bottom"/>
          </w:tcPr>
          <w:p w:rsidR="00000000" w:rsidDel="00000000" w:rsidP="00000000" w:rsidRDefault="00000000" w:rsidRPr="00000000" w14:paraId="000001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w:t>
            </w:r>
          </w:p>
        </w:tc>
      </w:tr>
      <w:tr>
        <w:tc>
          <w:tcPr/>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Lithium</w:t>
            </w:r>
          </w:p>
        </w:tc>
        <w:tc>
          <w:tcPr>
            <w:vAlign w:val="bottom"/>
          </w:tcPr>
          <w:p w:rsidR="00000000" w:rsidDel="00000000" w:rsidP="00000000" w:rsidRDefault="00000000" w:rsidRPr="00000000" w14:paraId="000001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bottom"/>
          </w:tcPr>
          <w:p w:rsidR="00000000" w:rsidDel="00000000" w:rsidP="00000000" w:rsidRDefault="00000000" w:rsidRPr="00000000" w14:paraId="000001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vAlign w:val="bottom"/>
          </w:tcPr>
          <w:p w:rsidR="00000000" w:rsidDel="00000000" w:rsidP="00000000" w:rsidRDefault="00000000" w:rsidRPr="00000000" w14:paraId="000001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1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r>
      <w:tr>
        <w:tc>
          <w:tcPr/>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Anticonvulsants</w:t>
            </w:r>
          </w:p>
        </w:tc>
        <w:tc>
          <w:tcPr>
            <w:vAlign w:val="bottom"/>
          </w:tcPr>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1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vAlign w:val="bottom"/>
          </w:tcPr>
          <w:p w:rsidR="00000000" w:rsidDel="00000000" w:rsidP="00000000" w:rsidRDefault="00000000" w:rsidRPr="00000000" w14:paraId="000001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bottom"/>
          </w:tcPr>
          <w:p w:rsidR="00000000" w:rsidDel="00000000" w:rsidP="00000000" w:rsidRDefault="00000000" w:rsidRPr="00000000" w14:paraId="000001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r>
      <w:tr>
        <w:tc>
          <w:tcPr/>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Valproic acid</w:t>
            </w:r>
          </w:p>
        </w:tc>
        <w:tc>
          <w:tcPr>
            <w:vAlign w:val="bottom"/>
          </w:tcPr>
          <w:p w:rsidR="00000000" w:rsidDel="00000000" w:rsidP="00000000" w:rsidRDefault="00000000" w:rsidRPr="00000000" w14:paraId="000001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1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vAlign w:val="bottom"/>
          </w:tcPr>
          <w:p w:rsidR="00000000" w:rsidDel="00000000" w:rsidP="00000000" w:rsidRDefault="00000000" w:rsidRPr="00000000" w14:paraId="000001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1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c>
          <w:tcPr/>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Benzodiazepines</w:t>
            </w:r>
          </w:p>
        </w:tc>
        <w:tc>
          <w:tcPr>
            <w:vAlign w:val="bottom"/>
          </w:tcPr>
          <w:p w:rsidR="00000000" w:rsidDel="00000000" w:rsidP="00000000" w:rsidRDefault="00000000" w:rsidRPr="00000000" w14:paraId="000001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1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bottom"/>
          </w:tcPr>
          <w:p w:rsidR="00000000" w:rsidDel="00000000" w:rsidP="00000000" w:rsidRDefault="00000000" w:rsidRPr="00000000" w14:paraId="000001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1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c>
          <w:tcPr/>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L-Thyroxine</w:t>
            </w:r>
          </w:p>
        </w:tc>
        <w:tc>
          <w:tcPr>
            <w:vAlign w:val="bottom"/>
          </w:tcPr>
          <w:p w:rsidR="00000000" w:rsidDel="00000000" w:rsidP="00000000" w:rsidRDefault="00000000" w:rsidRPr="00000000" w14:paraId="000001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bottom"/>
          </w:tcPr>
          <w:p w:rsidR="00000000" w:rsidDel="00000000" w:rsidP="00000000" w:rsidRDefault="00000000" w:rsidRPr="00000000" w14:paraId="000001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vAlign w:val="bottom"/>
          </w:tcPr>
          <w:p w:rsidR="00000000" w:rsidDel="00000000" w:rsidP="00000000" w:rsidRDefault="00000000" w:rsidRPr="00000000" w14:paraId="000001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1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trHeight w:val="240" w:hRule="atLeast"/>
        </w:trPr>
        <w:tc>
          <w:tcPr>
            <w:tcBorders>
              <w:bottom w:color="000000" w:space="0" w:sz="4" w:val="single"/>
            </w:tcBorders>
          </w:tcPr>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Antihistamines</w:t>
            </w:r>
          </w:p>
        </w:tc>
        <w:tc>
          <w:tcPr>
            <w:tcBorders>
              <w:bottom w:color="000000" w:space="0" w:sz="4" w:val="single"/>
            </w:tcBorders>
            <w:vAlign w:val="bottom"/>
          </w:tcPr>
          <w:p w:rsidR="00000000" w:rsidDel="00000000" w:rsidP="00000000" w:rsidRDefault="00000000" w:rsidRPr="00000000" w14:paraId="000001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bottom w:color="000000" w:space="0" w:sz="4" w:val="single"/>
            </w:tcBorders>
            <w:vAlign w:val="bottom"/>
          </w:tcPr>
          <w:p w:rsidR="00000000" w:rsidDel="00000000" w:rsidP="00000000" w:rsidRDefault="00000000" w:rsidRPr="00000000" w14:paraId="000001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bottom w:color="000000" w:space="0" w:sz="4" w:val="single"/>
            </w:tcBorders>
            <w:vAlign w:val="bottom"/>
          </w:tcPr>
          <w:p w:rsidR="00000000" w:rsidDel="00000000" w:rsidP="00000000" w:rsidRDefault="00000000" w:rsidRPr="00000000" w14:paraId="000001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bottom w:color="000000" w:space="0" w:sz="4" w:val="single"/>
            </w:tcBorders>
            <w:vAlign w:val="bottom"/>
          </w:tcPr>
          <w:p w:rsidR="00000000" w:rsidDel="00000000" w:rsidP="00000000" w:rsidRDefault="00000000" w:rsidRPr="00000000" w14:paraId="000001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w:t>
            </w:r>
          </w:p>
        </w:tc>
      </w:tr>
    </w:tbl>
    <w:p w:rsidR="00000000" w:rsidDel="00000000" w:rsidP="00000000" w:rsidRDefault="00000000" w:rsidRPr="00000000" w14:paraId="00000122">
      <w:pPr>
        <w:spacing w:after="16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S2. </w:t>
      </w:r>
      <w:r w:rsidDel="00000000" w:rsidR="00000000" w:rsidRPr="00000000">
        <w:rPr>
          <w:rFonts w:ascii="Times New Roman" w:cs="Times New Roman" w:eastAsia="Times New Roman" w:hAnsi="Times New Roman"/>
          <w:rtl w:val="0"/>
        </w:rPr>
        <w:t xml:space="preserve">Medication information for patient groups in IntegraMooDS. Number of individuals without medication information: pat-UPD = 7, pat-BPD = 2, pat-SCZ = 1. A-AD, atypical antidepressant; AC, anticonvulsants; FGA, first generation antipsychotic; MAO-I, monoamine oxidase inhibitor; NaSSA, noradrenergic and specific serotonergic antidepressant; NDRI, norepinephrine-dopamine reuptake inhibitor; pat-BPD, patients with bipolar disorder; pat-UPD, patients with unipolar depression; pat-SCZ, patients with schizophrenia; SGA, second generation antipsychotic; SMS, serotonin modulator and stimulator; SNRI, selective serotonin norepinephrine reuptake inhibitors; SSRI, selective serotonin reuptake inhibitor. </w:t>
      </w:r>
    </w:p>
    <w:p w:rsidR="00000000" w:rsidDel="00000000" w:rsidP="00000000" w:rsidRDefault="00000000" w:rsidRPr="00000000" w14:paraId="00000123">
      <w:pPr>
        <w:spacing w:after="16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spacing w:after="16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after="16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spacing w:after="16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spacing w:after="160" w:line="480" w:lineRule="auto"/>
        <w:jc w:val="both"/>
        <w:rPr>
          <w:rFonts w:ascii="Times New Roman" w:cs="Times New Roman" w:eastAsia="Times New Roman" w:hAnsi="Times New Roman"/>
        </w:rPr>
      </w:pPr>
      <w:r w:rsidDel="00000000" w:rsidR="00000000" w:rsidRPr="00000000">
        <w:rPr>
          <w:rtl w:val="0"/>
        </w:rPr>
      </w:r>
    </w:p>
    <w:tbl>
      <w:tblPr>
        <w:tblStyle w:val="Table3"/>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0"/>
        <w:gridCol w:w="2040"/>
        <w:gridCol w:w="2130"/>
        <w:gridCol w:w="1857"/>
        <w:gridCol w:w="1763"/>
        <w:tblGridChange w:id="0">
          <w:tblGrid>
            <w:gridCol w:w="1270"/>
            <w:gridCol w:w="2040"/>
            <w:gridCol w:w="2130"/>
            <w:gridCol w:w="1857"/>
            <w:gridCol w:w="1763"/>
          </w:tblGrid>
        </w:tblGridChange>
      </w:tblGrid>
      <w:tr>
        <w:tc>
          <w:tcPr/>
          <w:p w:rsidR="00000000" w:rsidDel="00000000" w:rsidP="00000000" w:rsidRDefault="00000000" w:rsidRPr="00000000" w14:paraId="00000128">
            <w:pPr>
              <w:tabs>
                <w:tab w:val="left" w:pos="1053"/>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c>
        <w:tc>
          <w:tcPr>
            <w:gridSpan w:val="2"/>
          </w:tcPr>
          <w:p w:rsidR="00000000" w:rsidDel="00000000" w:rsidP="00000000" w:rsidRDefault="00000000" w:rsidRPr="00000000" w14:paraId="000001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gridSpan w:val="2"/>
          </w:tcPr>
          <w:p w:rsidR="00000000" w:rsidDel="00000000" w:rsidP="00000000" w:rsidRDefault="00000000" w:rsidRPr="00000000" w14:paraId="000001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IntegraMooDS</w:t>
            </w:r>
          </w:p>
        </w:tc>
      </w:tr>
      <w:tr>
        <w:tc>
          <w:tcPr/>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w:t>
            </w:r>
          </w:p>
        </w:tc>
        <w:tc>
          <w:tcPr/>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Eigenvalues</w:t>
            </w:r>
          </w:p>
        </w:tc>
        <w:tc>
          <w:tcPr/>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 variance</w:t>
            </w:r>
          </w:p>
        </w:tc>
        <w:tc>
          <w:tcPr/>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Eigenvalues</w:t>
            </w:r>
          </w:p>
        </w:tc>
        <w:tc>
          <w:tcPr/>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 variance</w:t>
            </w:r>
          </w:p>
        </w:tc>
      </w:tr>
      <w:tr>
        <w:tc>
          <w:tcPr/>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3.29</w:t>
            </w:r>
          </w:p>
        </w:tc>
        <w:tc>
          <w:tcPr/>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41.06</w:t>
            </w:r>
          </w:p>
        </w:tc>
        <w:tc>
          <w:tcPr/>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3.66</w:t>
            </w:r>
          </w:p>
        </w:tc>
        <w:tc>
          <w:tcPr/>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40.62</w:t>
            </w:r>
          </w:p>
        </w:tc>
      </w:tr>
      <w:tr>
        <w:tc>
          <w:tcPr/>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1.68</w:t>
            </w:r>
          </w:p>
        </w:tc>
        <w:tc>
          <w:tcPr/>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21.04</w:t>
            </w:r>
          </w:p>
        </w:tc>
        <w:tc>
          <w:tcPr/>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1.17</w:t>
            </w:r>
          </w:p>
        </w:tc>
        <w:tc>
          <w:tcPr/>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13.04</w:t>
            </w:r>
          </w:p>
        </w:tc>
      </w:tr>
      <w:tr>
        <w:tc>
          <w:tcPr/>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w:t>
            </w:r>
          </w:p>
        </w:tc>
        <w:tc>
          <w:tcPr/>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13.35</w:t>
            </w:r>
          </w:p>
        </w:tc>
        <w:tc>
          <w:tcPr/>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w:t>
            </w:r>
          </w:p>
        </w:tc>
        <w:tc>
          <w:tcPr/>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10.12</w:t>
            </w:r>
          </w:p>
        </w:tc>
      </w:tr>
    </w:tbl>
    <w:p w:rsidR="00000000" w:rsidDel="00000000" w:rsidP="00000000" w:rsidRDefault="00000000" w:rsidRPr="00000000" w14:paraId="00000141">
      <w:pPr>
        <w:spacing w:after="160" w:line="480" w:lineRule="auto"/>
        <w:jc w:val="both"/>
        <w:rPr>
          <w:rFonts w:ascii="Times New Roman" w:cs="Times New Roman" w:eastAsia="Times New Roman" w:hAnsi="Times New Roman"/>
        </w:rPr>
      </w:pPr>
      <w:bookmarkStart w:colFirst="0" w:colLast="0" w:name="_1fob9te" w:id="1"/>
      <w:bookmarkEnd w:id="1"/>
      <w:r w:rsidDel="00000000" w:rsidR="00000000" w:rsidRPr="00000000">
        <w:rPr>
          <w:rFonts w:ascii="Times New Roman" w:cs="Times New Roman" w:eastAsia="Times New Roman" w:hAnsi="Times New Roman"/>
          <w:b w:val="1"/>
          <w:rtl w:val="0"/>
        </w:rPr>
        <w:t xml:space="preserve">Table S3 </w:t>
      </w:r>
      <w:r w:rsidDel="00000000" w:rsidR="00000000" w:rsidRPr="00000000">
        <w:rPr>
          <w:rFonts w:ascii="Times New Roman" w:cs="Times New Roman" w:eastAsia="Times New Roman" w:hAnsi="Times New Roman"/>
          <w:rtl w:val="0"/>
        </w:rPr>
        <w:t xml:space="preserve">Eigenvalues and percentage of variance explained for the first three unrotated principal components from different cognitive batteries, separately for IMAGEN and IntegraMooDS. </w:t>
      </w:r>
    </w:p>
    <w:p w:rsidR="00000000" w:rsidDel="00000000" w:rsidP="00000000" w:rsidRDefault="00000000" w:rsidRPr="00000000" w14:paraId="00000142">
      <w:pPr>
        <w:spacing w:after="16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73300"/>
            <wp:effectExtent b="0" l="0" r="0" t="0"/>
            <wp:docPr id="4"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93900"/>
            <wp:effectExtent b="0" l="0" r="0" t="0"/>
            <wp:docPr id="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S1. </w:t>
      </w:r>
      <w:r w:rsidDel="00000000" w:rsidR="00000000" w:rsidRPr="00000000">
        <w:rPr>
          <w:rFonts w:ascii="Times New Roman" w:cs="Times New Roman" w:eastAsia="Times New Roman" w:hAnsi="Times New Roman"/>
          <w:rtl w:val="0"/>
        </w:rPr>
        <w:t xml:space="preserve">Factor loadings of individual neurocognitive tests on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separately for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IMAGEN and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IntegraMooDS. The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explained 41.06 % of the variance across the different domains in IMAGEN and 41.72 % in IntegraMooDS.</w:t>
      </w:r>
    </w:p>
    <w:p w:rsidR="00000000" w:rsidDel="00000000" w:rsidP="00000000" w:rsidRDefault="00000000" w:rsidRPr="00000000" w14:paraId="00000156">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spacing w:line="480" w:lineRule="auto"/>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5943600" cy="3492500"/>
            <wp:effectExtent b="0" l="0" r="0" t="0"/>
            <wp:wrapTopAndBottom distB="114300" distT="114300"/>
            <wp:docPr id="14"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3492500"/>
                    </a:xfrm>
                    <a:prstGeom prst="rect"/>
                    <a:ln/>
                  </pic:spPr>
                </pic:pic>
              </a:graphicData>
            </a:graphic>
          </wp:anchor>
        </w:drawing>
      </w:r>
    </w:p>
    <w:p w:rsidR="00000000" w:rsidDel="00000000" w:rsidP="00000000" w:rsidRDefault="00000000" w:rsidRPr="00000000" w14:paraId="0000015C">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S2 </w:t>
      </w:r>
      <w:r w:rsidDel="00000000" w:rsidR="00000000" w:rsidRPr="00000000">
        <w:rPr>
          <w:rFonts w:ascii="Times New Roman" w:cs="Times New Roman" w:eastAsia="Times New Roman" w:hAnsi="Times New Roman"/>
          <w:rtl w:val="0"/>
        </w:rPr>
        <w:t xml:space="preserve">Basic statistics for the principal component analysis. (A) Scree plot for eight principal components from different cognitive batteries in IMAGEN. (B) Histogram for the first unrotated principal component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in IMAGEN. (C) Scree plot for nine principal components from different cognitive batteries in IntegraMooDS. (D) Histogram for the first unrotated principal component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in IntegraMooDS, separately for control subjects (blue) as well as relatives and patients (red).</w:t>
      </w:r>
      <w:r w:rsidDel="00000000" w:rsidR="00000000" w:rsidRPr="00000000">
        <w:rPr>
          <w:rtl w:val="0"/>
        </w:rPr>
      </w:r>
    </w:p>
    <w:p w:rsidR="00000000" w:rsidDel="00000000" w:rsidP="00000000" w:rsidRDefault="00000000" w:rsidRPr="00000000" w14:paraId="0000015D">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3">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3023121</wp:posOffset>
            </wp:positionH>
            <wp:positionV relativeFrom="paragraph">
              <wp:posOffset>1767375</wp:posOffset>
            </wp:positionV>
            <wp:extent cx="3051175" cy="1799590"/>
            <wp:effectExtent b="0" l="0" r="0" t="0"/>
            <wp:wrapSquare wrapText="bothSides" distB="0" distT="0" distL="114300" distR="114300"/>
            <wp:docPr id="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3051175" cy="17995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3023614</wp:posOffset>
            </wp:positionH>
            <wp:positionV relativeFrom="paragraph">
              <wp:posOffset>625</wp:posOffset>
            </wp:positionV>
            <wp:extent cx="3051175" cy="1799590"/>
            <wp:effectExtent b="0" l="0" r="0" t="0"/>
            <wp:wrapSquare wrapText="bothSides" distB="0" distT="0" distL="114300" distR="114300"/>
            <wp:docPr id="1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3051175" cy="17995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960</wp:posOffset>
            </wp:positionH>
            <wp:positionV relativeFrom="paragraph">
              <wp:posOffset>957</wp:posOffset>
            </wp:positionV>
            <wp:extent cx="3051691" cy="1800000"/>
            <wp:effectExtent b="0" l="0" r="0" t="0"/>
            <wp:wrapSquare wrapText="bothSides" distB="0" distT="0" distL="114300" distR="114300"/>
            <wp:docPr id="1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051691" cy="1800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1754363</wp:posOffset>
            </wp:positionV>
            <wp:extent cx="3051175" cy="1799590"/>
            <wp:effectExtent b="0" l="0" r="0" t="0"/>
            <wp:wrapSquare wrapText="bothSides" distB="0" distT="0" distL="114300" distR="114300"/>
            <wp:docPr id="5"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3051175" cy="1799590"/>
                    </a:xfrm>
                    <a:prstGeom prst="rect"/>
                    <a:ln/>
                  </pic:spPr>
                </pic:pic>
              </a:graphicData>
            </a:graphic>
          </wp:anchor>
        </w:drawing>
      </w:r>
    </w:p>
    <w:p w:rsidR="00000000" w:rsidDel="00000000" w:rsidP="00000000" w:rsidRDefault="00000000" w:rsidRPr="00000000" w14:paraId="00000164">
      <w:pPr>
        <w:spacing w:line="480" w:lineRule="auto"/>
        <w:jc w:val="both"/>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b w:val="1"/>
          <w:color w:val="222222"/>
          <w:highlight w:val="white"/>
          <w:rtl w:val="0"/>
        </w:rPr>
        <w:t xml:space="preserve">F</w:t>
      </w:r>
      <w:r w:rsidDel="00000000" w:rsidR="00000000" w:rsidRPr="00000000">
        <w:rPr>
          <w:rFonts w:ascii="Times New Roman" w:cs="Times New Roman" w:eastAsia="Times New Roman" w:hAnsi="Times New Roman"/>
          <w:b w:val="1"/>
          <w:color w:val="222222"/>
          <w:rtl w:val="0"/>
        </w:rPr>
        <w:t xml:space="preserve">igure </w:t>
      </w:r>
      <w:r w:rsidDel="00000000" w:rsidR="00000000" w:rsidRPr="00000000">
        <w:rPr>
          <w:rFonts w:ascii="Times New Roman" w:cs="Times New Roman" w:eastAsia="Times New Roman" w:hAnsi="Times New Roman"/>
          <w:b w:val="1"/>
          <w:color w:val="222222"/>
          <w:rtl w:val="0"/>
        </w:rPr>
        <w:t xml:space="preserve">S3</w:t>
      </w:r>
      <w:r w:rsidDel="00000000" w:rsidR="00000000" w:rsidRPr="00000000">
        <w:rPr>
          <w:rFonts w:ascii="Times New Roman" w:cs="Times New Roman" w:eastAsia="Times New Roman" w:hAnsi="Times New Roman"/>
          <w:b w:val="1"/>
          <w:color w:val="222222"/>
          <w:rtl w:val="0"/>
        </w:rPr>
        <w:t xml:space="preserve">. </w:t>
      </w:r>
      <w:r w:rsidDel="00000000" w:rsidR="00000000" w:rsidRPr="00000000">
        <w:rPr>
          <w:rFonts w:ascii="Times New Roman" w:cs="Times New Roman" w:eastAsia="Times New Roman" w:hAnsi="Times New Roman"/>
          <w:color w:val="222222"/>
          <w:rtl w:val="0"/>
        </w:rPr>
        <w:t xml:space="preserve">Sca</w:t>
      </w:r>
      <w:r w:rsidDel="00000000" w:rsidR="00000000" w:rsidRPr="00000000">
        <w:rPr>
          <w:rFonts w:ascii="Times New Roman" w:cs="Times New Roman" w:eastAsia="Times New Roman" w:hAnsi="Times New Roman"/>
          <w:color w:val="222222"/>
          <w:highlight w:val="white"/>
          <w:rtl w:val="0"/>
        </w:rPr>
        <w:t xml:space="preserve">tterplots of first four population stratification principal components (PC1 - PC4) in IMAGEN (N=1,651). Population stratification principal component estimation was performed with 64,081 autosomal SNPs. Every dot represents one individual. The clustering of cases clearly indicates common genetic ancestry (all participants were self-report as European-Caucasian). </w:t>
      </w:r>
      <w:r w:rsidDel="00000000" w:rsidR="00000000" w:rsidRPr="00000000">
        <w:rPr>
          <w:rtl w:val="0"/>
        </w:rPr>
      </w:r>
    </w:p>
    <w:p w:rsidR="00000000" w:rsidDel="00000000" w:rsidP="00000000" w:rsidRDefault="00000000" w:rsidRPr="00000000" w14:paraId="00000165">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6">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7">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8">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9">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A">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B">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C">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D">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E">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F">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3072130</wp:posOffset>
            </wp:positionH>
            <wp:positionV relativeFrom="paragraph">
              <wp:posOffset>2029765</wp:posOffset>
            </wp:positionV>
            <wp:extent cx="3051175" cy="1799590"/>
            <wp:effectExtent b="0" l="0" r="0" t="0"/>
            <wp:wrapSquare wrapText="bothSides" distB="0" distT="0" distL="0" distR="0"/>
            <wp:docPr id="12"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3051175" cy="17995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2036445</wp:posOffset>
            </wp:positionV>
            <wp:extent cx="3051175" cy="1799590"/>
            <wp:effectExtent b="0" l="0" r="0" t="0"/>
            <wp:wrapSquare wrapText="bothSides" distB="0" distT="0" distL="0" distR="0"/>
            <wp:docPr id="2"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051175" cy="17995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237490</wp:posOffset>
            </wp:positionV>
            <wp:extent cx="3051175" cy="1799590"/>
            <wp:effectExtent b="0" l="0" r="0" t="0"/>
            <wp:wrapSquare wrapText="bothSides" distB="0" distT="0" distL="114300" distR="114300"/>
            <wp:docPr id="7"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3051175" cy="17995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3062605</wp:posOffset>
            </wp:positionH>
            <wp:positionV relativeFrom="paragraph">
              <wp:posOffset>237490</wp:posOffset>
            </wp:positionV>
            <wp:extent cx="3051175" cy="1799590"/>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3051175" cy="1799590"/>
                    </a:xfrm>
                    <a:prstGeom prst="rect"/>
                    <a:ln/>
                  </pic:spPr>
                </pic:pic>
              </a:graphicData>
            </a:graphic>
          </wp:anchor>
        </w:drawing>
      </w:r>
    </w:p>
    <w:p w:rsidR="00000000" w:rsidDel="00000000" w:rsidP="00000000" w:rsidRDefault="00000000" w:rsidRPr="00000000" w14:paraId="00000170">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171">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172">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173">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174">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175">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176">
      <w:pPr>
        <w:spacing w:line="480"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Figure </w:t>
      </w:r>
      <w:r w:rsidDel="00000000" w:rsidR="00000000" w:rsidRPr="00000000">
        <w:rPr>
          <w:rFonts w:ascii="Times New Roman" w:cs="Times New Roman" w:eastAsia="Times New Roman" w:hAnsi="Times New Roman"/>
          <w:b w:val="1"/>
          <w:color w:val="222222"/>
          <w:rtl w:val="0"/>
        </w:rPr>
        <w:t xml:space="preserve">S4</w:t>
      </w:r>
      <w:r w:rsidDel="00000000" w:rsidR="00000000" w:rsidRPr="00000000">
        <w:rPr>
          <w:rFonts w:ascii="Times New Roman" w:cs="Times New Roman" w:eastAsia="Times New Roman" w:hAnsi="Times New Roman"/>
          <w:b w:val="1"/>
          <w:color w:val="222222"/>
          <w:rtl w:val="0"/>
        </w:rPr>
        <w:t xml:space="preserve">. </w:t>
      </w:r>
      <w:r w:rsidDel="00000000" w:rsidR="00000000" w:rsidRPr="00000000">
        <w:rPr>
          <w:rFonts w:ascii="Times New Roman" w:cs="Times New Roman" w:eastAsia="Times New Roman" w:hAnsi="Times New Roman"/>
          <w:color w:val="222222"/>
          <w:rtl w:val="0"/>
        </w:rPr>
        <w:t xml:space="preserve">Sc</w:t>
      </w:r>
      <w:r w:rsidDel="00000000" w:rsidR="00000000" w:rsidRPr="00000000">
        <w:rPr>
          <w:rFonts w:ascii="Times New Roman" w:cs="Times New Roman" w:eastAsia="Times New Roman" w:hAnsi="Times New Roman"/>
          <w:color w:val="222222"/>
          <w:highlight w:val="white"/>
          <w:rtl w:val="0"/>
        </w:rPr>
        <w:t xml:space="preserve">atterplots of first four population stratification principal components (PC1 - PC4) in IntegraMooDS (N=742). Population stratification principal component estimation was performed with 64,081 autosomal SNPs. Every dot represents one individual. The clustering of cases clearly indicates common genetic ancestry (all participants were self-report as European-Caucasian). </w:t>
      </w:r>
    </w:p>
    <w:p w:rsidR="00000000" w:rsidDel="00000000" w:rsidP="00000000" w:rsidRDefault="00000000" w:rsidRPr="00000000" w14:paraId="00000177">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78">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79">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7A">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7B">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7C">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7D">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7E">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7F">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140200"/>
            <wp:effectExtent b="0" l="0" r="0" t="0"/>
            <wp:docPr id="8"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S5. </w:t>
      </w:r>
      <w:r w:rsidDel="00000000" w:rsidR="00000000" w:rsidRPr="00000000">
        <w:rPr>
          <w:rFonts w:ascii="Times New Roman" w:cs="Times New Roman" w:eastAsia="Times New Roman" w:hAnsi="Times New Roman"/>
          <w:color w:val="222222"/>
          <w:rtl w:val="0"/>
        </w:rPr>
        <w:t xml:space="preserve"> In IntegraMooDS, </w:t>
      </w:r>
      <w:r w:rsidDel="00000000" w:rsidR="00000000" w:rsidRPr="00000000">
        <w:rPr>
          <w:rFonts w:ascii="Times New Roman" w:cs="Times New Roman" w:eastAsia="Times New Roman" w:hAnsi="Times New Roman"/>
          <w:i w:val="1"/>
          <w:highlight w:val="white"/>
          <w:rtl w:val="0"/>
        </w:rPr>
        <w:t xml:space="preserve">g</w:t>
      </w:r>
      <w:r w:rsidDel="00000000" w:rsidR="00000000" w:rsidRPr="00000000">
        <w:rPr>
          <w:rFonts w:ascii="Times New Roman" w:cs="Times New Roman" w:eastAsia="Times New Roman" w:hAnsi="Times New Roman"/>
          <w:highlight w:val="white"/>
          <w:rtl w:val="0"/>
        </w:rPr>
        <w:t xml:space="preserve">-factor was significantly different between subgroups after covarying for sex, age, site, and four population stratification principal components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222222"/>
          <w:highlight w:val="white"/>
          <w:rtl w:val="0"/>
        </w:rPr>
        <w:t xml:space="preserve">F</w:t>
      </w:r>
      <w:r w:rsidDel="00000000" w:rsidR="00000000" w:rsidRPr="00000000">
        <w:rPr>
          <w:rFonts w:ascii="Times New Roman" w:cs="Times New Roman" w:eastAsia="Times New Roman" w:hAnsi="Times New Roman"/>
          <w:color w:val="222222"/>
          <w:highlight w:val="white"/>
          <w:vertAlign w:val="subscript"/>
          <w:rtl w:val="0"/>
        </w:rPr>
        <w:t xml:space="preserve">6,726</w:t>
      </w:r>
      <w:r w:rsidDel="00000000" w:rsidR="00000000" w:rsidRPr="00000000">
        <w:rPr>
          <w:rFonts w:ascii="Times New Roman" w:cs="Times New Roman" w:eastAsia="Times New Roman" w:hAnsi="Times New Roman"/>
          <w:color w:val="222222"/>
          <w:highlight w:val="white"/>
          <w:rtl w:val="0"/>
        </w:rPr>
        <w:t xml:space="preserve">= 9.34, P</w:t>
      </w:r>
      <w:r w:rsidDel="00000000" w:rsidR="00000000" w:rsidRPr="00000000">
        <w:rPr>
          <w:rFonts w:ascii="Times New Roman" w:cs="Times New Roman" w:eastAsia="Times New Roman" w:hAnsi="Times New Roman"/>
          <w:color w:val="222222"/>
          <w:rtl w:val="0"/>
        </w:rPr>
        <w:t xml:space="preserve"> &lt; 0.001). </w:t>
      </w:r>
      <w:r w:rsidDel="00000000" w:rsidR="00000000" w:rsidRPr="00000000">
        <w:rPr>
          <w:rFonts w:ascii="Times New Roman" w:cs="Times New Roman" w:eastAsia="Times New Roman" w:hAnsi="Times New Roman"/>
          <w:i w:val="1"/>
          <w:color w:val="222222"/>
          <w:rtl w:val="0"/>
        </w:rPr>
        <w:t xml:space="preserve">g</w:t>
      </w:r>
      <w:r w:rsidDel="00000000" w:rsidR="00000000" w:rsidRPr="00000000">
        <w:rPr>
          <w:rFonts w:ascii="Times New Roman" w:cs="Times New Roman" w:eastAsia="Times New Roman" w:hAnsi="Times New Roman"/>
          <w:color w:val="222222"/>
          <w:rtl w:val="0"/>
        </w:rPr>
        <w:t xml:space="preserve">-factor was significantly lower in schizophrenia relatives (rel-SCZ), </w:t>
      </w:r>
      <w:r w:rsidDel="00000000" w:rsidR="00000000" w:rsidRPr="00000000">
        <w:rPr>
          <w:rFonts w:ascii="Times New Roman" w:cs="Times New Roman" w:eastAsia="Times New Roman" w:hAnsi="Times New Roman"/>
          <w:highlight w:val="white"/>
          <w:rtl w:val="0"/>
        </w:rPr>
        <w:t xml:space="preserve">patients with bipolar disorder (pat-BPD) and patients with schizophrenia (pat-SCZ) compared to healthy controls, with the greatest difference in pat-SCZ compared to control subjects. Hollow circles, squares and triangles represent each subject of healthy controls, relatives and patients respectively. Mean and 95% confidence interval are shown to the right of each group. For pairwise comparisons see Table S8.</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1">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943600" cy="2933700"/>
            <wp:effectExtent b="0" l="0" r="0" t="0"/>
            <wp:docPr id="9"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S6. </w:t>
      </w:r>
      <w:r w:rsidDel="00000000" w:rsidR="00000000" w:rsidRPr="00000000">
        <w:rPr>
          <w:rFonts w:ascii="Times New Roman" w:cs="Times New Roman" w:eastAsia="Times New Roman" w:hAnsi="Times New Roman"/>
          <w:rtl w:val="0"/>
        </w:rPr>
        <w:t xml:space="preserve">Full correlations between PS</w:t>
      </w:r>
      <w:r w:rsidDel="00000000" w:rsidR="00000000" w:rsidRPr="00000000">
        <w:rPr>
          <w:rFonts w:ascii="Times New Roman" w:cs="Times New Roman" w:eastAsia="Times New Roman" w:hAnsi="Times New Roman"/>
          <w:vertAlign w:val="subscript"/>
          <w:rtl w:val="0"/>
        </w:rPr>
        <w:t xml:space="preserve">1 </w:t>
      </w:r>
      <w:r w:rsidDel="00000000" w:rsidR="00000000" w:rsidRPr="00000000">
        <w:rPr>
          <w:rFonts w:ascii="Times New Roman" w:cs="Times New Roman" w:eastAsia="Times New Roman" w:hAnsi="Times New Roman"/>
          <w:rtl w:val="0"/>
        </w:rPr>
        <w:t xml:space="preserve">to PS</w:t>
      </w:r>
      <w:r w:rsidDel="00000000" w:rsidR="00000000" w:rsidRPr="00000000">
        <w:rPr>
          <w:rFonts w:ascii="Times New Roman" w:cs="Times New Roman" w:eastAsia="Times New Roman" w:hAnsi="Times New Roman"/>
          <w:vertAlign w:val="subscript"/>
          <w:rtl w:val="0"/>
        </w:rPr>
        <w:t xml:space="preserve">10</w:t>
      </w:r>
      <w:r w:rsidDel="00000000" w:rsidR="00000000" w:rsidRPr="00000000">
        <w:rPr>
          <w:rFonts w:ascii="Times New Roman" w:cs="Times New Roman" w:eastAsia="Times New Roman" w:hAnsi="Times New Roman"/>
          <w:rtl w:val="0"/>
        </w:rPr>
        <w:t xml:space="preserve"> in IMAGEN (left) and IntegraMooDS (right). All correlations were significant after correcting for ten multiple comparisons (all P</w:t>
      </w:r>
      <w:r w:rsidDel="00000000" w:rsidR="00000000" w:rsidRPr="00000000">
        <w:rPr>
          <w:rFonts w:ascii="Times New Roman" w:cs="Times New Roman" w:eastAsia="Times New Roman" w:hAnsi="Times New Roman"/>
          <w:vertAlign w:val="subscript"/>
          <w:rtl w:val="0"/>
        </w:rPr>
        <w:t xml:space="preserve">corrected </w:t>
      </w:r>
      <w:r w:rsidDel="00000000" w:rsidR="00000000" w:rsidRPr="00000000">
        <w:rPr>
          <w:rFonts w:ascii="Times New Roman" w:cs="Times New Roman" w:eastAsia="Times New Roman" w:hAnsi="Times New Roman"/>
          <w:rtl w:val="0"/>
        </w:rPr>
        <w:t xml:space="preserve">&lt; 0.05). Medium to large correlation coefficients (r &gt; 0.6) are observed between PS</w:t>
      </w:r>
      <w:r w:rsidDel="00000000" w:rsidR="00000000" w:rsidRPr="00000000">
        <w:rPr>
          <w:rFonts w:ascii="Times New Roman" w:cs="Times New Roman" w:eastAsia="Times New Roman" w:hAnsi="Times New Roman"/>
          <w:vertAlign w:val="subscript"/>
          <w:rtl w:val="0"/>
        </w:rPr>
        <w:t xml:space="preserve">4 </w:t>
      </w:r>
      <w:r w:rsidDel="00000000" w:rsidR="00000000" w:rsidRPr="00000000">
        <w:rPr>
          <w:rFonts w:ascii="Times New Roman" w:cs="Times New Roman" w:eastAsia="Times New Roman" w:hAnsi="Times New Roman"/>
          <w:rtl w:val="0"/>
        </w:rPr>
        <w:t xml:space="preserve">to PS</w:t>
      </w:r>
      <w:r w:rsidDel="00000000" w:rsidR="00000000" w:rsidRPr="00000000">
        <w:rPr>
          <w:rFonts w:ascii="Times New Roman" w:cs="Times New Roman" w:eastAsia="Times New Roman" w:hAnsi="Times New Roman"/>
          <w:vertAlign w:val="subscript"/>
          <w:rtl w:val="0"/>
        </w:rPr>
        <w:t xml:space="preserve">10</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7">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spacing w:line="480" w:lineRule="auto"/>
        <w:jc w:val="both"/>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Pr>
        <w:drawing>
          <wp:inline distB="114300" distT="114300" distL="114300" distR="114300">
            <wp:extent cx="5943600" cy="3657600"/>
            <wp:effectExtent b="0" l="0" r="0" t="0"/>
            <wp:docPr id="10"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480" w:lineRule="auto"/>
        <w:jc w:val="both"/>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b w:val="1"/>
          <w:color w:val="222222"/>
          <w:highlight w:val="white"/>
          <w:rtl w:val="0"/>
        </w:rPr>
        <w:t xml:space="preserve">Figure S7. </w:t>
      </w:r>
      <w:r w:rsidDel="00000000" w:rsidR="00000000" w:rsidRPr="00000000">
        <w:rPr>
          <w:rFonts w:ascii="Times New Roman" w:cs="Times New Roman" w:eastAsia="Times New Roman" w:hAnsi="Times New Roman"/>
          <w:rtl w:val="0"/>
        </w:rPr>
        <w:t xml:space="preserve">The association of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with CT, as well as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with SA throughout the cortex ranging from </w:t>
      </w:r>
      <w:r w:rsidDel="00000000" w:rsidR="00000000" w:rsidRPr="00000000">
        <w:rPr>
          <w:rFonts w:ascii="Times New Roman" w:cs="Times New Roman" w:eastAsia="Times New Roman" w:hAnsi="Times New Roman"/>
          <w:color w:val="222222"/>
          <w:rtl w:val="0"/>
        </w:rPr>
        <w:t xml:space="preserve">P</w:t>
      </w:r>
      <w:r w:rsidDel="00000000" w:rsidR="00000000" w:rsidRPr="00000000">
        <w:rPr>
          <w:rFonts w:ascii="Times New Roman" w:cs="Times New Roman" w:eastAsia="Times New Roman" w:hAnsi="Times New Roman"/>
          <w:color w:val="222222"/>
          <w:vertAlign w:val="subscript"/>
          <w:rtl w:val="0"/>
        </w:rPr>
        <w:t xml:space="preserve">FWE-corrected</w:t>
      </w:r>
      <w:r w:rsidDel="00000000" w:rsidR="00000000" w:rsidRPr="00000000">
        <w:rPr>
          <w:rFonts w:ascii="Times New Roman" w:cs="Times New Roman" w:eastAsia="Times New Roman" w:hAnsi="Times New Roman"/>
          <w:color w:val="222222"/>
          <w:rtl w:val="0"/>
        </w:rPr>
        <w:t xml:space="preserve"> &lt; 0.05 (red) to P</w:t>
      </w:r>
      <w:r w:rsidDel="00000000" w:rsidR="00000000" w:rsidRPr="00000000">
        <w:rPr>
          <w:rFonts w:ascii="Times New Roman" w:cs="Times New Roman" w:eastAsia="Times New Roman" w:hAnsi="Times New Roman"/>
          <w:color w:val="222222"/>
          <w:vertAlign w:val="subscript"/>
          <w:rtl w:val="0"/>
        </w:rPr>
        <w:t xml:space="preserve">FWE-corrected</w:t>
      </w:r>
      <w:r w:rsidDel="00000000" w:rsidR="00000000" w:rsidRPr="00000000">
        <w:rPr>
          <w:rFonts w:ascii="Times New Roman" w:cs="Times New Roman" w:eastAsia="Times New Roman" w:hAnsi="Times New Roman"/>
          <w:color w:val="222222"/>
          <w:rtl w:val="0"/>
        </w:rPr>
        <w:t xml:space="preserve"> &lt; 0.001 (yellow). Anatomical locations from left to right: rostral, left, superior, caudal, right, inferior. </w:t>
      </w:r>
      <w:r w:rsidDel="00000000" w:rsidR="00000000" w:rsidRPr="00000000">
        <w:rPr>
          <w:rFonts w:ascii="Times New Roman" w:cs="Times New Roman" w:eastAsia="Times New Roman" w:hAnsi="Times New Roman"/>
          <w:rtl w:val="0"/>
        </w:rPr>
        <w:t xml:space="preserve"> IMAGEN included sex, age, site and ethnicity as covariates. IntegraMooDS included subgroup, sex, age, site, and ethnicity as covariates. </w:t>
      </w:r>
      <w:r w:rsidDel="00000000" w:rsidR="00000000" w:rsidRPr="00000000">
        <w:rPr>
          <w:rFonts w:ascii="Times New Roman" w:cs="Times New Roman" w:eastAsia="Times New Roman" w:hAnsi="Times New Roman"/>
          <w:color w:val="222222"/>
          <w:rtl w:val="0"/>
        </w:rPr>
        <w:t xml:space="preserve">(</w:t>
      </w:r>
      <w:r w:rsidDel="00000000" w:rsidR="00000000" w:rsidRPr="00000000">
        <w:rPr>
          <w:rFonts w:ascii="Times New Roman" w:cs="Times New Roman" w:eastAsia="Times New Roman" w:hAnsi="Times New Roman"/>
          <w:b w:val="1"/>
          <w:color w:val="222222"/>
          <w:rtl w:val="0"/>
        </w:rPr>
        <w:t xml:space="preserve">A</w:t>
      </w:r>
      <w:r w:rsidDel="00000000" w:rsidR="00000000" w:rsidRPr="00000000">
        <w:rPr>
          <w:rFonts w:ascii="Times New Roman" w:cs="Times New Roman" w:eastAsia="Times New Roman" w:hAnsi="Times New Roman"/>
          <w:color w:val="222222"/>
          <w:rtl w:val="0"/>
        </w:rPr>
        <w:t xml:space="preserve">)</w:t>
      </w:r>
      <w:r w:rsidDel="00000000" w:rsidR="00000000" w:rsidRPr="00000000">
        <w:rPr>
          <w:rFonts w:ascii="Times New Roman" w:cs="Times New Roman" w:eastAsia="Times New Roman" w:hAnsi="Times New Roman"/>
          <w:rtl w:val="0"/>
        </w:rPr>
        <w:t xml:space="preserve"> The association of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and CT in IMAGEN (N = 1651).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The association of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and CT in IntegraMooDS (N=742). (</w:t>
      </w: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 The association of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and SA in IMAGEN. (</w:t>
      </w:r>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rtl w:val="0"/>
        </w:rPr>
        <w:t xml:space="preserve">) The association of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and SA in IntegraMooDS. CT, cortical thickness; SA, surface area. </w:t>
      </w:r>
      <w:r w:rsidDel="00000000" w:rsidR="00000000" w:rsidRPr="00000000">
        <w:rPr>
          <w:rtl w:val="0"/>
        </w:rPr>
      </w:r>
    </w:p>
    <w:p w:rsidR="00000000" w:rsidDel="00000000" w:rsidP="00000000" w:rsidRDefault="00000000" w:rsidRPr="00000000" w14:paraId="00000194">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5">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6">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7">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8">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9">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A">
      <w:pPr>
        <w:spacing w:line="480" w:lineRule="auto"/>
        <w:jc w:val="both"/>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5943600" cy="3683000"/>
            <wp:effectExtent b="0" l="0" r="0" t="0"/>
            <wp:docPr id="13"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C">
      <w:pPr>
        <w:spacing w:line="480" w:lineRule="auto"/>
        <w:jc w:val="both"/>
        <w:rPr>
          <w:rFonts w:ascii="Times New Roman" w:cs="Times New Roman" w:eastAsia="Times New Roman" w:hAnsi="Times New Roman"/>
          <w:color w:val="222222"/>
          <w:highlight w:val="white"/>
          <w:u w:val="single"/>
        </w:rPr>
      </w:pPr>
      <w:bookmarkStart w:colFirst="0" w:colLast="0" w:name="_30j0zll" w:id="2"/>
      <w:bookmarkEnd w:id="2"/>
      <w:r w:rsidDel="00000000" w:rsidR="00000000" w:rsidRPr="00000000">
        <w:rPr>
          <w:rFonts w:ascii="Times New Roman" w:cs="Times New Roman" w:eastAsia="Times New Roman" w:hAnsi="Times New Roman"/>
          <w:b w:val="1"/>
          <w:color w:val="222222"/>
          <w:highlight w:val="white"/>
          <w:rtl w:val="0"/>
        </w:rPr>
        <w:t xml:space="preserve">Figure S8. </w:t>
      </w:r>
      <w:r w:rsidDel="00000000" w:rsidR="00000000" w:rsidRPr="00000000">
        <w:rPr>
          <w:rFonts w:ascii="Times New Roman" w:cs="Times New Roman" w:eastAsia="Times New Roman" w:hAnsi="Times New Roman"/>
          <w:rtl w:val="0"/>
        </w:rPr>
        <w:t xml:space="preserve">The association of PS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with CT, as well as PS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with SA in key areas associated with general intelligence differences ranging from </w:t>
      </w:r>
      <w:r w:rsidDel="00000000" w:rsidR="00000000" w:rsidRPr="00000000">
        <w:rPr>
          <w:rFonts w:ascii="Times New Roman" w:cs="Times New Roman" w:eastAsia="Times New Roman" w:hAnsi="Times New Roman"/>
          <w:color w:val="222222"/>
          <w:rtl w:val="0"/>
        </w:rPr>
        <w:t xml:space="preserve">P</w:t>
      </w:r>
      <w:r w:rsidDel="00000000" w:rsidR="00000000" w:rsidRPr="00000000">
        <w:rPr>
          <w:rFonts w:ascii="Times New Roman" w:cs="Times New Roman" w:eastAsia="Times New Roman" w:hAnsi="Times New Roman"/>
          <w:color w:val="222222"/>
          <w:vertAlign w:val="subscript"/>
          <w:rtl w:val="0"/>
        </w:rPr>
        <w:t xml:space="preserve">FWE-corrected</w:t>
      </w:r>
      <w:r w:rsidDel="00000000" w:rsidR="00000000" w:rsidRPr="00000000">
        <w:rPr>
          <w:rFonts w:ascii="Times New Roman" w:cs="Times New Roman" w:eastAsia="Times New Roman" w:hAnsi="Times New Roman"/>
          <w:color w:val="222222"/>
          <w:rtl w:val="0"/>
        </w:rPr>
        <w:t xml:space="preserve"> &lt; 0.005 (red) to P</w:t>
      </w:r>
      <w:r w:rsidDel="00000000" w:rsidR="00000000" w:rsidRPr="00000000">
        <w:rPr>
          <w:rFonts w:ascii="Times New Roman" w:cs="Times New Roman" w:eastAsia="Times New Roman" w:hAnsi="Times New Roman"/>
          <w:color w:val="222222"/>
          <w:vertAlign w:val="subscript"/>
          <w:rtl w:val="0"/>
        </w:rPr>
        <w:t xml:space="preserve">FWE-corrected</w:t>
      </w:r>
      <w:r w:rsidDel="00000000" w:rsidR="00000000" w:rsidRPr="00000000">
        <w:rPr>
          <w:rFonts w:ascii="Times New Roman" w:cs="Times New Roman" w:eastAsia="Times New Roman" w:hAnsi="Times New Roman"/>
          <w:color w:val="222222"/>
          <w:rtl w:val="0"/>
        </w:rPr>
        <w:t xml:space="preserve"> &lt; 0.001 (yellow)</w:t>
      </w:r>
      <w:r w:rsidDel="00000000" w:rsidR="00000000" w:rsidRPr="00000000">
        <w:rPr>
          <w:rFonts w:ascii="Times New Roman" w:cs="Times New Roman" w:eastAsia="Times New Roman" w:hAnsi="Times New Roman"/>
          <w:color w:val="222222"/>
          <w:highlight w:val="white"/>
          <w:rtl w:val="0"/>
        </w:rPr>
        <w:t xml:space="preserve">.</w:t>
      </w:r>
      <w:r w:rsidDel="00000000" w:rsidR="00000000" w:rsidRPr="00000000">
        <w:rPr>
          <w:rFonts w:ascii="Times New Roman" w:cs="Times New Roman" w:eastAsia="Times New Roman" w:hAnsi="Times New Roman"/>
          <w:color w:val="222222"/>
          <w:rtl w:val="0"/>
        </w:rPr>
        <w:t xml:space="preserve"> Anatomical locations from left to right: anterior, right inner, left inner, left outer, right outer. </w:t>
      </w:r>
      <w:r w:rsidDel="00000000" w:rsidR="00000000" w:rsidRPr="00000000">
        <w:rPr>
          <w:rFonts w:ascii="Times New Roman" w:cs="Times New Roman" w:eastAsia="Times New Roman" w:hAnsi="Times New Roman"/>
          <w:rtl w:val="0"/>
        </w:rPr>
        <w:t xml:space="preserve"> IMAGEN included sex, age, site and ethnicity as covariates. IntegraMooDS included subgroup, sex, age, site, and ethnicity as covariates. </w:t>
      </w:r>
      <w:r w:rsidDel="00000000" w:rsidR="00000000" w:rsidRPr="00000000">
        <w:rPr>
          <w:rFonts w:ascii="Times New Roman" w:cs="Times New Roman" w:eastAsia="Times New Roman" w:hAnsi="Times New Roman"/>
          <w:color w:val="222222"/>
          <w:rtl w:val="0"/>
        </w:rPr>
        <w:t xml:space="preserve">(</w:t>
      </w:r>
      <w:r w:rsidDel="00000000" w:rsidR="00000000" w:rsidRPr="00000000">
        <w:rPr>
          <w:rFonts w:ascii="Times New Roman" w:cs="Times New Roman" w:eastAsia="Times New Roman" w:hAnsi="Times New Roman"/>
          <w:b w:val="1"/>
          <w:color w:val="222222"/>
          <w:rtl w:val="0"/>
        </w:rPr>
        <w:t xml:space="preserve">A</w:t>
      </w:r>
      <w:r w:rsidDel="00000000" w:rsidR="00000000" w:rsidRPr="00000000">
        <w:rPr>
          <w:rFonts w:ascii="Times New Roman" w:cs="Times New Roman" w:eastAsia="Times New Roman" w:hAnsi="Times New Roman"/>
          <w:color w:val="222222"/>
          <w:rtl w:val="0"/>
        </w:rPr>
        <w:t xml:space="preserve">)</w:t>
      </w:r>
      <w:r w:rsidDel="00000000" w:rsidR="00000000" w:rsidRPr="00000000">
        <w:rPr>
          <w:rFonts w:ascii="Times New Roman" w:cs="Times New Roman" w:eastAsia="Times New Roman" w:hAnsi="Times New Roman"/>
          <w:rtl w:val="0"/>
        </w:rPr>
        <w:t xml:space="preserve"> The association of PS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and CT in IMAGEN (N = 1651).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The association of PS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and CT in IntegraMooDS (N=742). (</w:t>
      </w: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 The association of PS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and SA in IMAGEN. (</w:t>
      </w:r>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rtl w:val="0"/>
        </w:rPr>
        <w:t xml:space="preserve">) The association of PS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and SA in IntegraMooDS. CT, cortical thickness; SA, surface area. </w:t>
      </w:r>
      <w:r w:rsidDel="00000000" w:rsidR="00000000" w:rsidRPr="00000000">
        <w:rPr>
          <w:rtl w:val="0"/>
        </w:rPr>
      </w:r>
    </w:p>
    <w:p w:rsidR="00000000" w:rsidDel="00000000" w:rsidP="00000000" w:rsidRDefault="00000000" w:rsidRPr="00000000" w14:paraId="0000019D">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E">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F">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A0">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before="220" w:line="48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References</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22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47">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Aschenbrenner S, Tucha O, Lange KW. 2000. RWT: Regensburger Wortflüssigkeits-Test. Hogrefe.</w:t>
        </w:r>
      </w:hyperlink>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48">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Baron RM, Kenny DA. 1986. The moderator--mediator variable distinction in social psychological research: Conceptual, strategic, and statistical considerations. J Pers Soc Psychol. 51:1173.</w:t>
        </w:r>
      </w:hyperlink>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49">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Brickenkamp R, Zillmer E, Others. 1998. The d2 test of attention. Hogrefe &amp; Huber Seattle, WA.</w:t>
        </w:r>
      </w:hyperlink>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0">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Das S, Forer L, Schönherr S, Sidore C, Locke AE, Kwong A, Vrieze SI, Chew EY, Levy S, McGue M, Schlessinger D, Stambolian D, Loh P-R, Iacono WG, Swaroop A, Scott LJ, Cucca F, Kronenberg F, Boehnke M, Abecasis GR, Fuchsberger C. 2016. Next-generation genotype imputation service and methods. Nat Genet. 48:1284–1287.</w:t>
        </w:r>
      </w:hyperlink>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1">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Eagle v2.4.1 User Manual [WWW Document]. 2018. . URL </w:t>
        </w:r>
      </w:hyperlink>
      <w:hyperlink r:id="rId52">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https://data.broadinstitute.org/alkesgroup/Eagle/</w:t>
        </w:r>
      </w:hyperlink>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3">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Fischl B, Dale AM. 2000. Measuring the thickness of the human cerebral cortex from magnetic resonance images. Proc Natl Acad Sci U S A. 97:11050–11055.</w:t>
        </w:r>
      </w:hyperlink>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4">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Fischl B, Liu A, Dale AM. 2001. Automated manifold surgery: constructing geometrically accurate and topologically correct models of the human cerebral cortex. IEEE Trans Med Imaging. 20:70–80.</w:t>
        </w:r>
      </w:hyperlink>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5">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Fischl B, Salat DH, van der Kouwe AJW, Makris N, Ségonne F, Quinn BT, Dale AM. 2004. Sequence-independent segmentation of magnetic resonance images. Neuroimage. 23 Suppl 1:S69–S84.</w:t>
        </w:r>
      </w:hyperlink>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6">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Fischl B, Sereno MI, Dale AM. 1999. Cortical surface-based analysis. II: Inflation, flattening, and a surface-based coordinate system. Neuroimage. 9:195–207.</w:t>
        </w:r>
      </w:hyperlink>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7">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Fischl B, Sereno MI, Tootell RBH, Dale AM. 1999. High-resolution intersubject averaging and a coordinate system for the cortical surface. Hum Brain Mapp. 8:272–284.</w:t>
        </w:r>
      </w:hyperlink>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8">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Friedman L, Glover GH. 2006. Report on a multicenter fMRI quality assurance protocol. J Magn Reson Imaging. 23:827–839.</w:t>
        </w:r>
      </w:hyperlink>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9">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Giovagnoli AR, Del Pesce M, Mascheroni S, Simoncelli M, Laiacona M, Capitani E. 1996. Trail making test: normative values from 287 normal adult controls. Ital J Neurol Sci. 17:305–309.</w:t>
        </w:r>
      </w:hyperlink>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0">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Helmstaedter C, Lendt M, Lux S. 2001. Verbaler Lern- und Merkfähigkeitstest: VLMT ; Manual. Beltz-Test.</w:t>
        </w:r>
      </w:hyperlink>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1">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Lehrl S. 1999. Mehrfachwahl-Wortschatz-Intelligenztest: MWT-B. Spitta.</w:t>
        </w:r>
      </w:hyperlink>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2">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Lett TA, Waller L, Tost H, Veer IM, Nazeri A, Erk S, Brandl EJ, Charlet K, Beck A, Vollstädt-Klein S, Jorde A, Kiefer F, Heinz A, Meyer-Lindenberg A, Chakravarty MM, Walter H. 2017. Cortical surface-based threshold-free cluster enhancement and cortexwise mediation. Hum Brain Mapp. 38:2795–2807.</w:t>
        </w:r>
      </w:hyperlink>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3">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Mackinnon DP, Warsi G, Dwyer JH. 1995. A Simulation Study of Mediated Effect Measures. Multivariate Behav Res. 30:41.</w:t>
        </w:r>
      </w:hyperlink>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4">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Ripke S, Neale BM, Corvin A, Walters JTR, Farh K-H, Holmans PA, Lee. 2014. Biological insights from 108 schizophrenia-associated genetic loci. Nature. 511:421.</w:t>
        </w:r>
      </w:hyperlink>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5">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Savage JE, Jansen PR, Stringer S, Watanabe K, Bryois J, de Leeuw CA. 2018. Genome-wide association meta-analysis in 269,867 individuals identifies new genetic and functional links to intelligence. Nat Genet. 50:912–919.</w:t>
        </w:r>
      </w:hyperlink>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6">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Schumann G, Loth E, Banaschewski T, Barbot A, Barker G, Büchel C, Conrod PJ, Dalley JW, Flor H, Gallinat J, Garavan H, Heinz A, Itterman B, Lathrop M, Mallik C, Mann K, Martinot J-L, Paus T, Poline J-B, Robbins TW, Rietschel M, Reed L, Smolka M, Spanagel R, Speiser C, Stephens DN, Ströhle A, Struve M, IMAGEN consortium. 2010. The IMAGEN study: reinforcement-related behaviour in normal brain function and psychopathology. Mol Psychiatry. 15:1128–1139.</w:t>
        </w:r>
      </w:hyperlink>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7">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Sobel ME. 1982. Asymptotic Confidence Intervals for Indirect Effects in Structural Equation Models. Sociol Methodol. 13:290–312.</w:t>
        </w:r>
      </w:hyperlink>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8">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Sobel ME. 1986. Some New Results on Indirect Effects and Their Standard Errors in Covariance Structure Models. Sociol Methodol. 16:159–186.</w:t>
        </w:r>
      </w:hyperlink>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9">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Wechsler D. 2003. Wechsler intelligence scale for children--Fourth Edition (WISC-IV). San Antonio, TX: The Psychological Corporation.</w:t>
        </w:r>
      </w:hyperlink>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70">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Wechsler D. 2008. WAIS-IV Administration and Scoring Manual. PsychCorp.</w:t>
        </w:r>
      </w:hyperlink>
      <w:r w:rsidDel="00000000" w:rsidR="00000000" w:rsidRPr="00000000">
        <w:rPr>
          <w:rtl w:val="0"/>
        </w:rPr>
      </w:r>
    </w:p>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222222"/>
          <w:highlight w:val="white"/>
        </w:rPr>
      </w:pPr>
      <w:r w:rsidDel="00000000" w:rsidR="00000000" w:rsidRPr="00000000">
        <w:rPr>
          <w:rtl w:val="0"/>
        </w:rPr>
      </w:r>
    </w:p>
    <w:sectPr>
      <w:headerReference r:id="rId7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png"/><Relationship Id="rId41" Type="http://schemas.openxmlformats.org/officeDocument/2006/relationships/image" Target="media/image9.png"/><Relationship Id="rId44" Type="http://schemas.openxmlformats.org/officeDocument/2006/relationships/image" Target="media/image6.png"/><Relationship Id="rId43" Type="http://schemas.openxmlformats.org/officeDocument/2006/relationships/image" Target="media/image8.png"/><Relationship Id="rId46" Type="http://schemas.openxmlformats.org/officeDocument/2006/relationships/image" Target="media/image11.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KEEZio/pegOn" TargetMode="External"/><Relationship Id="rId48" Type="http://schemas.openxmlformats.org/officeDocument/2006/relationships/hyperlink" Target="http://paperpile.com/b/KEEZio/uNS4t" TargetMode="External"/><Relationship Id="rId47" Type="http://schemas.openxmlformats.org/officeDocument/2006/relationships/hyperlink" Target="http://paperpile.com/b/KEEZio/LYilj" TargetMode="External"/><Relationship Id="rId49" Type="http://schemas.openxmlformats.org/officeDocument/2006/relationships/hyperlink" Target="http://paperpile.com/b/KEEZio/yhKEo" TargetMode="External"/><Relationship Id="rId5" Type="http://schemas.openxmlformats.org/officeDocument/2006/relationships/styles" Target="styles.xml"/><Relationship Id="rId6" Type="http://schemas.openxmlformats.org/officeDocument/2006/relationships/hyperlink" Target="mailto:tristram.lett@charite.de" TargetMode="External"/><Relationship Id="rId7" Type="http://schemas.openxmlformats.org/officeDocument/2006/relationships/hyperlink" Target="mailto:henrik.walter@charite.de" TargetMode="External"/><Relationship Id="rId8" Type="http://schemas.openxmlformats.org/officeDocument/2006/relationships/hyperlink" Target="https://paperpile.com/c/KEEZio/Lx3SX" TargetMode="External"/><Relationship Id="rId31" Type="http://schemas.openxmlformats.org/officeDocument/2006/relationships/hyperlink" Target="https://github.com/bobvogel/g-factor-mediation" TargetMode="External"/><Relationship Id="rId30" Type="http://schemas.openxmlformats.org/officeDocument/2006/relationships/hyperlink" Target="https://github.com/trislett/TFCE_mediation" TargetMode="External"/><Relationship Id="rId33" Type="http://schemas.openxmlformats.org/officeDocument/2006/relationships/image" Target="media/image12.png"/><Relationship Id="rId32" Type="http://schemas.openxmlformats.org/officeDocument/2006/relationships/image" Target="media/image10.png"/><Relationship Id="rId35" Type="http://schemas.openxmlformats.org/officeDocument/2006/relationships/image" Target="media/image14.png"/><Relationship Id="rId34" Type="http://schemas.openxmlformats.org/officeDocument/2006/relationships/image" Target="media/image15.png"/><Relationship Id="rId71" Type="http://schemas.openxmlformats.org/officeDocument/2006/relationships/header" Target="header1.xml"/><Relationship Id="rId70" Type="http://schemas.openxmlformats.org/officeDocument/2006/relationships/hyperlink" Target="http://paperpile.com/b/KEEZio/pegOn" TargetMode="External"/><Relationship Id="rId37" Type="http://schemas.openxmlformats.org/officeDocument/2006/relationships/image" Target="media/image1.png"/><Relationship Id="rId36" Type="http://schemas.openxmlformats.org/officeDocument/2006/relationships/image" Target="media/image5.png"/><Relationship Id="rId39" Type="http://schemas.openxmlformats.org/officeDocument/2006/relationships/image" Target="media/image3.png"/><Relationship Id="rId38" Type="http://schemas.openxmlformats.org/officeDocument/2006/relationships/image" Target="media/image4.png"/><Relationship Id="rId62" Type="http://schemas.openxmlformats.org/officeDocument/2006/relationships/hyperlink" Target="http://paperpile.com/b/KEEZio/wwea3" TargetMode="External"/><Relationship Id="rId61" Type="http://schemas.openxmlformats.org/officeDocument/2006/relationships/hyperlink" Target="http://paperpile.com/b/KEEZio/Qud9h" TargetMode="External"/><Relationship Id="rId20" Type="http://schemas.openxmlformats.org/officeDocument/2006/relationships/hyperlink" Target="https://paperpile.com/c/KEEZio/QFUlv" TargetMode="External"/><Relationship Id="rId64" Type="http://schemas.openxmlformats.org/officeDocument/2006/relationships/hyperlink" Target="http://paperpile.com/b/KEEZio/8Cwrf" TargetMode="External"/><Relationship Id="rId63" Type="http://schemas.openxmlformats.org/officeDocument/2006/relationships/hyperlink" Target="http://paperpile.com/b/KEEZio/4W4QH" TargetMode="External"/><Relationship Id="rId22" Type="http://schemas.openxmlformats.org/officeDocument/2006/relationships/hyperlink" Target="https://paperpile.com/c/KEEZio/9S7Nw" TargetMode="External"/><Relationship Id="rId66" Type="http://schemas.openxmlformats.org/officeDocument/2006/relationships/hyperlink" Target="http://paperpile.com/b/KEEZio/SKZYM" TargetMode="External"/><Relationship Id="rId21" Type="http://schemas.openxmlformats.org/officeDocument/2006/relationships/hyperlink" Target="https://paperpile.com/c/KEEZio/9S7Nw+S1R9i+E7cDj+gTjTO+1K1fL" TargetMode="External"/><Relationship Id="rId65" Type="http://schemas.openxmlformats.org/officeDocument/2006/relationships/hyperlink" Target="http://paperpile.com/b/KEEZio/Oc1qE" TargetMode="External"/><Relationship Id="rId24" Type="http://schemas.openxmlformats.org/officeDocument/2006/relationships/hyperlink" Target="https://paperpile.com/c/KEEZio/1K1fL+gTjTO" TargetMode="External"/><Relationship Id="rId68" Type="http://schemas.openxmlformats.org/officeDocument/2006/relationships/hyperlink" Target="http://paperpile.com/b/KEEZio/xrr7R" TargetMode="External"/><Relationship Id="rId23" Type="http://schemas.openxmlformats.org/officeDocument/2006/relationships/hyperlink" Target="https://paperpile.com/c/KEEZio/wwea3" TargetMode="External"/><Relationship Id="rId67" Type="http://schemas.openxmlformats.org/officeDocument/2006/relationships/hyperlink" Target="http://paperpile.com/b/KEEZio/sZdOQ" TargetMode="External"/><Relationship Id="rId60" Type="http://schemas.openxmlformats.org/officeDocument/2006/relationships/hyperlink" Target="http://paperpile.com/b/KEEZio/NXLWs" TargetMode="External"/><Relationship Id="rId26" Type="http://schemas.openxmlformats.org/officeDocument/2006/relationships/hyperlink" Target="https://paperpile.com/c/KEEZio/uNS4t" TargetMode="External"/><Relationship Id="rId25" Type="http://schemas.openxmlformats.org/officeDocument/2006/relationships/hyperlink" Target="https://paperpile.com/c/KEEZio/wwea3" TargetMode="External"/><Relationship Id="rId69" Type="http://schemas.openxmlformats.org/officeDocument/2006/relationships/hyperlink" Target="http://paperpile.com/b/KEEZio/Lx3SX" TargetMode="External"/><Relationship Id="rId28" Type="http://schemas.openxmlformats.org/officeDocument/2006/relationships/hyperlink" Target="https://paperpile.com/c/g4kU1k/I3Qa+6xd9+FULu" TargetMode="External"/><Relationship Id="rId27" Type="http://schemas.openxmlformats.org/officeDocument/2006/relationships/hyperlink" Target="https://paperpile.com/c/KEEZio/4W4QH+sZdOQ+xrr7R" TargetMode="External"/><Relationship Id="rId29" Type="http://schemas.openxmlformats.org/officeDocument/2006/relationships/hyperlink" Target="https://paperpile.com/c/g4kU1k/3n1S+YEX9+8et0" TargetMode="External"/><Relationship Id="rId51" Type="http://schemas.openxmlformats.org/officeDocument/2006/relationships/hyperlink" Target="http://paperpile.com/b/KEEZio/cTmAa" TargetMode="External"/><Relationship Id="rId50" Type="http://schemas.openxmlformats.org/officeDocument/2006/relationships/hyperlink" Target="http://paperpile.com/b/KEEZio/CLdi4" TargetMode="External"/><Relationship Id="rId53" Type="http://schemas.openxmlformats.org/officeDocument/2006/relationships/hyperlink" Target="http://paperpile.com/b/KEEZio/9S7Nw" TargetMode="External"/><Relationship Id="rId52" Type="http://schemas.openxmlformats.org/officeDocument/2006/relationships/hyperlink" Target="https://data.broadinstitute.org/alkesgroup/Eagle/" TargetMode="External"/><Relationship Id="rId11" Type="http://schemas.openxmlformats.org/officeDocument/2006/relationships/hyperlink" Target="https://paperpile.com/c/KEEZio/Qud9h" TargetMode="External"/><Relationship Id="rId55" Type="http://schemas.openxmlformats.org/officeDocument/2006/relationships/hyperlink" Target="http://paperpile.com/b/KEEZio/E7cDj" TargetMode="External"/><Relationship Id="rId10" Type="http://schemas.openxmlformats.org/officeDocument/2006/relationships/hyperlink" Target="https://paperpile.com/c/KEEZio/LYilj" TargetMode="External"/><Relationship Id="rId54" Type="http://schemas.openxmlformats.org/officeDocument/2006/relationships/hyperlink" Target="http://paperpile.com/b/KEEZio/S1R9i" TargetMode="External"/><Relationship Id="rId13" Type="http://schemas.openxmlformats.org/officeDocument/2006/relationships/hyperlink" Target="https://paperpile.com/c/KEEZio/IJEnE" TargetMode="External"/><Relationship Id="rId57" Type="http://schemas.openxmlformats.org/officeDocument/2006/relationships/hyperlink" Target="http://paperpile.com/b/KEEZio/1K1fL" TargetMode="External"/><Relationship Id="rId12" Type="http://schemas.openxmlformats.org/officeDocument/2006/relationships/hyperlink" Target="https://paperpile.com/c/KEEZio/NXLWs" TargetMode="External"/><Relationship Id="rId56" Type="http://schemas.openxmlformats.org/officeDocument/2006/relationships/hyperlink" Target="http://paperpile.com/b/KEEZio/gTjTO" TargetMode="External"/><Relationship Id="rId15" Type="http://schemas.openxmlformats.org/officeDocument/2006/relationships/hyperlink" Target="https://paperpile.com/c/KEEZio/CLdi4+cTmAa" TargetMode="External"/><Relationship Id="rId59" Type="http://schemas.openxmlformats.org/officeDocument/2006/relationships/hyperlink" Target="http://paperpile.com/b/KEEZio/IJEnE" TargetMode="External"/><Relationship Id="rId14" Type="http://schemas.openxmlformats.org/officeDocument/2006/relationships/hyperlink" Target="https://paperpile.com/c/KEEZio/yhKEo" TargetMode="External"/><Relationship Id="rId58" Type="http://schemas.openxmlformats.org/officeDocument/2006/relationships/hyperlink" Target="http://paperpile.com/b/KEEZio/QFUlv" TargetMode="External"/><Relationship Id="rId17" Type="http://schemas.openxmlformats.org/officeDocument/2006/relationships/hyperlink" Target="https://paperpile.com/c/KEEZio/8Cwrf" TargetMode="External"/><Relationship Id="rId16" Type="http://schemas.openxmlformats.org/officeDocument/2006/relationships/hyperlink" Target="https://ega-archive.org/datasets/EGAD00001002729" TargetMode="External"/><Relationship Id="rId19" Type="http://schemas.openxmlformats.org/officeDocument/2006/relationships/hyperlink" Target="https://paperpile.com/c/KEEZio/SKZYM" TargetMode="External"/><Relationship Id="rId18" Type="http://schemas.openxmlformats.org/officeDocument/2006/relationships/hyperlink" Target="https://paperpile.com/c/KEEZio/Oc1q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